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sz w:val="36"/>
          <w:szCs w:val="36"/>
        </w:rPr>
      </w:pPr>
      <w:r>
        <w:rPr>
          <w:rFonts w:ascii="Times New Roman" w:hAnsi="Times New Roman"/>
          <w:sz w:val="36"/>
          <w:szCs w:val="36"/>
        </w:rPr>
        <w:t>Софийски Университет „Св. Климент Охридски”</w:t>
      </w:r>
    </w:p>
    <w:p>
      <w:pPr>
        <w:pStyle w:val="Normal"/>
        <w:jc w:val="center"/>
        <w:rPr>
          <w:rFonts w:ascii="Times New Roman" w:hAnsi="Times New Roman"/>
          <w:sz w:val="36"/>
          <w:szCs w:val="36"/>
        </w:rPr>
      </w:pPr>
      <w:r>
        <w:rPr>
          <w:rFonts w:ascii="Times New Roman" w:hAnsi="Times New Roman"/>
          <w:sz w:val="36"/>
          <w:szCs w:val="36"/>
        </w:rPr>
        <w:t>Юридически факултет</w:t>
      </w:r>
    </w:p>
    <w:p>
      <w:pPr>
        <w:pStyle w:val="Normal"/>
        <w:jc w:val="center"/>
        <w:rPr>
          <w:rFonts w:ascii="Times New Roman" w:hAnsi="Times New Roman"/>
          <w:sz w:val="36"/>
          <w:szCs w:val="36"/>
        </w:rPr>
      </w:pPr>
      <w:r>
        <w:rPr>
          <w:rFonts w:ascii="Times New Roman" w:hAnsi="Times New Roman"/>
          <w:sz w:val="36"/>
          <w:szCs w:val="36"/>
        </w:rPr>
        <w:t>Международни бизнес отношения</w:t>
      </w:r>
    </w:p>
    <w:p>
      <w:pPr>
        <w:pStyle w:val="Normal"/>
        <w:jc w:val="center"/>
        <w:rPr>
          <w:rFonts w:ascii="Times New Roman" w:hAnsi="Times New Roman" w:cs="Times New Roman"/>
          <w:b/>
          <w:b/>
          <w:sz w:val="40"/>
          <w:szCs w:val="40"/>
          <w:u w:val="single"/>
          <w:lang w:val="en-US"/>
        </w:rPr>
      </w:pPr>
      <w:r>
        <w:rPr>
          <w:rFonts w:cs="Times New Roman" w:ascii="Times New Roman" w:hAnsi="Times New Roman"/>
          <w:b/>
          <w:sz w:val="40"/>
          <w:szCs w:val="40"/>
          <w:u w:val="single"/>
          <w:lang w:val="en-US"/>
        </w:rPr>
      </w:r>
    </w:p>
    <w:p>
      <w:pPr>
        <w:pStyle w:val="Normal"/>
        <w:rPr>
          <w:rFonts w:ascii="Times New Roman" w:hAnsi="Times New Roman" w:cs="Times New Roman"/>
          <w:b/>
          <w:b/>
          <w:sz w:val="40"/>
          <w:szCs w:val="40"/>
          <w:u w:val="single"/>
          <w:lang w:val="en-US"/>
        </w:rPr>
      </w:pPr>
      <w:r>
        <w:rPr>
          <w:rFonts w:cs="Times New Roman" w:ascii="Times New Roman" w:hAnsi="Times New Roman"/>
          <w:b/>
          <w:sz w:val="40"/>
          <w:szCs w:val="40"/>
          <w:u w:val="single"/>
          <w:lang w:val="en-US"/>
        </w:rPr>
      </w:r>
    </w:p>
    <w:p>
      <w:pPr>
        <w:pStyle w:val="Normal"/>
        <w:jc w:val="center"/>
        <w:rPr>
          <w:rFonts w:ascii="Times New Roman" w:hAnsi="Times New Roman" w:cs="Times New Roman"/>
          <w:sz w:val="40"/>
          <w:szCs w:val="40"/>
        </w:rPr>
      </w:pPr>
      <w:r>
        <w:rPr/>
        <w:drawing>
          <wp:inline distT="0" distB="0" distL="0" distR="0">
            <wp:extent cx="2190750" cy="2162810"/>
            <wp:effectExtent l="0" t="0" r="0" b="0"/>
            <wp:docPr id="1" name="Picture 1" descr="D:\Backup\СУ\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Backup\СУ\images.jpg"/>
                    <pic:cNvPicPr>
                      <a:picLocks noChangeAspect="1" noChangeArrowheads="1"/>
                    </pic:cNvPicPr>
                  </pic:nvPicPr>
                  <pic:blipFill>
                    <a:blip r:embed="rId2"/>
                    <a:stretch>
                      <a:fillRect/>
                    </a:stretch>
                  </pic:blipFill>
                  <pic:spPr bwMode="auto">
                    <a:xfrm>
                      <a:off x="0" y="0"/>
                      <a:ext cx="2190750" cy="2162810"/>
                    </a:xfrm>
                    <a:prstGeom prst="rect">
                      <a:avLst/>
                    </a:prstGeom>
                  </pic:spPr>
                </pic:pic>
              </a:graphicData>
            </a:graphic>
          </wp:inline>
        </w:drawing>
      </w:r>
    </w:p>
    <w:p>
      <w:pPr>
        <w:pStyle w:val="Normal"/>
        <w:spacing w:lineRule="auto" w:line="360"/>
        <w:rPr>
          <w:rFonts w:ascii="Times New Roman" w:hAnsi="Times New Roman" w:cs="Times New Roman"/>
          <w:sz w:val="40"/>
          <w:szCs w:val="40"/>
          <w:lang w:val="en-US"/>
        </w:rPr>
      </w:pPr>
      <w:r>
        <w:rPr>
          <w:rFonts w:cs="Times New Roman" w:ascii="Times New Roman" w:hAnsi="Times New Roman"/>
          <w:sz w:val="40"/>
          <w:szCs w:val="40"/>
          <w:lang w:val="en-US"/>
        </w:rPr>
      </w:r>
    </w:p>
    <w:p>
      <w:pPr>
        <w:pStyle w:val="Normal"/>
        <w:jc w:val="center"/>
        <w:rPr>
          <w:rFonts w:ascii="Times New Roman" w:hAnsi="Times New Roman" w:cs="Times New Roman"/>
          <w:sz w:val="40"/>
          <w:szCs w:val="40"/>
        </w:rPr>
      </w:pPr>
      <w:r>
        <w:rPr>
          <w:rFonts w:cs="Times New Roman" w:ascii="Times New Roman" w:hAnsi="Times New Roman"/>
          <w:b/>
          <w:sz w:val="40"/>
          <w:szCs w:val="40"/>
          <w:u w:val="single"/>
        </w:rPr>
        <w:t>Банков кредит. Елементи на договора. Видове кредити. Сравнение с договора за заем.</w:t>
      </w:r>
    </w:p>
    <w:p>
      <w:pPr>
        <w:pStyle w:val="Normal"/>
        <w:spacing w:lineRule="auto" w:line="36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360"/>
        <w:jc w:val="center"/>
        <w:rPr>
          <w:rFonts w:ascii="Times New Roman" w:hAnsi="Times New Roman" w:cs="Times New Roman"/>
          <w:b/>
          <w:b/>
          <w:sz w:val="28"/>
          <w:szCs w:val="28"/>
          <w:lang w:val="en-US"/>
        </w:rPr>
      </w:pPr>
      <w:r>
        <w:rPr>
          <w:rFonts w:cs="Times New Roman" w:ascii="Times New Roman" w:hAnsi="Times New Roman"/>
          <w:b/>
          <w:sz w:val="28"/>
          <w:szCs w:val="28"/>
        </w:rPr>
        <w:t>Курсова работа</w:t>
      </w:r>
    </w:p>
    <w:p>
      <w:pPr>
        <w:pStyle w:val="Normal"/>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jc w:val="both"/>
        <w:rPr>
          <w:rFonts w:ascii="Times New Roman" w:hAnsi="Times New Roman" w:cs="Times New Roman"/>
          <w:sz w:val="24"/>
          <w:szCs w:val="24"/>
        </w:rPr>
      </w:pPr>
      <w:r>
        <w:rPr>
          <w:rFonts w:cs="Times New Roman" w:ascii="Times New Roman" w:hAnsi="Times New Roman"/>
          <w:sz w:val="24"/>
          <w:szCs w:val="24"/>
        </w:rPr>
        <w:t>Проверил : доц. д-р Анета Антонова</w:t>
      </w:r>
    </w:p>
    <w:p>
      <w:pPr>
        <w:pStyle w:val="Normal"/>
        <w:spacing w:lineRule="auto" w:line="360"/>
        <w:jc w:val="both"/>
        <w:rPr>
          <w:rFonts w:ascii="Times New Roman" w:hAnsi="Times New Roman" w:cs="Times New Roman"/>
          <w:sz w:val="24"/>
          <w:szCs w:val="24"/>
        </w:rPr>
      </w:pPr>
      <w:r>
        <w:rPr>
          <w:rFonts w:cs="Times New Roman" w:ascii="Times New Roman" w:hAnsi="Times New Roman"/>
          <w:sz w:val="24"/>
          <w:szCs w:val="24"/>
        </w:rPr>
        <w:t xml:space="preserve">Изготвил : Павел Ст. Станков </w:t>
      </w:r>
    </w:p>
    <w:p>
      <w:pPr>
        <w:pStyle w:val="Normal"/>
        <w:spacing w:lineRule="auto" w:line="360"/>
        <w:jc w:val="both"/>
        <w:rPr>
          <w:rFonts w:ascii="Times New Roman" w:hAnsi="Times New Roman" w:cs="Times New Roman"/>
          <w:sz w:val="24"/>
          <w:szCs w:val="24"/>
        </w:rPr>
      </w:pPr>
      <w:r>
        <w:rPr>
          <w:rFonts w:cs="Times New Roman" w:ascii="Times New Roman" w:hAnsi="Times New Roman"/>
          <w:sz w:val="24"/>
          <w:szCs w:val="24"/>
        </w:rPr>
        <w:t>ФН : 75017-М</w:t>
      </w:r>
    </w:p>
    <w:p>
      <w:pPr>
        <w:pStyle w:val="NoSpacing"/>
        <w:jc w:val="both"/>
        <w:rPr>
          <w:rFonts w:ascii="Times New Roman" w:hAnsi="Times New Roman" w:cs="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 xml:space="preserve">С развитието на пазарната икономика у нас терминът „банково право” започна все по-често да се споменава.  </w:t>
      </w:r>
      <w:r>
        <w:rPr>
          <w:rFonts w:cs="Times New Roman" w:ascii="Times New Roman" w:hAnsi="Times New Roman"/>
          <w:b/>
          <w:bCs/>
          <w:sz w:val="28"/>
          <w:szCs w:val="28"/>
          <w:shd w:fill="FFFFFF" w:val="clear"/>
        </w:rPr>
        <w:t>Банковото право</w:t>
      </w:r>
      <w:r>
        <w:rPr>
          <w:rFonts w:cs="Times New Roman" w:ascii="Times New Roman" w:hAnsi="Times New Roman"/>
          <w:sz w:val="28"/>
          <w:szCs w:val="28"/>
          <w:shd w:fill="FFFFFF" w:val="clear"/>
        </w:rPr>
        <w:t xml:space="preserve"> следва да се разглежда като съвкупност от правни норми, които регулират обществените отношения ,възникващи във връзка с осъществяването на банкова дейност. В тези отношения винаги едната страна е </w:t>
      </w:r>
      <w:r>
        <w:rPr>
          <w:rFonts w:cs="Times New Roman" w:ascii="Times New Roman" w:hAnsi="Times New Roman"/>
          <w:i/>
          <w:sz w:val="28"/>
          <w:szCs w:val="28"/>
          <w:shd w:fill="FFFFFF" w:val="clear"/>
        </w:rPr>
        <w:t>банка</w:t>
      </w:r>
      <w:r>
        <w:rPr>
          <w:rFonts w:cs="Times New Roman" w:ascii="Times New Roman" w:hAnsi="Times New Roman"/>
          <w:sz w:val="28"/>
          <w:szCs w:val="28"/>
          <w:shd w:fill="FFFFFF" w:val="clear"/>
        </w:rPr>
        <w:t xml:space="preserve"> или небанкова финансова институция.</w:t>
      </w:r>
    </w:p>
    <w:p>
      <w:pPr>
        <w:pStyle w:val="NoSpacing"/>
        <w:jc w:val="both"/>
        <w:rPr>
          <w:i/>
          <w:i/>
          <w:sz w:val="18"/>
          <w:szCs w:val="1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rPr>
        <w:t xml:space="preserve">Според </w:t>
      </w:r>
      <w:r>
        <w:rPr>
          <w:rFonts w:cs="Times New Roman" w:ascii="Times New Roman" w:hAnsi="Times New Roman"/>
          <w:b/>
          <w:sz w:val="28"/>
          <w:szCs w:val="28"/>
        </w:rPr>
        <w:t>чл. 2</w:t>
      </w:r>
      <w:r>
        <w:rPr>
          <w:rFonts w:cs="Times New Roman" w:ascii="Times New Roman" w:hAnsi="Times New Roman"/>
          <w:sz w:val="28"/>
          <w:szCs w:val="28"/>
        </w:rPr>
        <w:t xml:space="preserve"> от Закона</w:t>
      </w:r>
      <w:r>
        <w:rPr>
          <w:rFonts w:cs="Times New Roman" w:ascii="Times New Roman" w:hAnsi="Times New Roman"/>
          <w:i/>
          <w:sz w:val="28"/>
          <w:szCs w:val="28"/>
        </w:rPr>
        <w:t xml:space="preserve"> </w:t>
      </w:r>
      <w:r>
        <w:rPr>
          <w:rFonts w:cs="Times New Roman" w:ascii="Times New Roman" w:hAnsi="Times New Roman"/>
          <w:sz w:val="28"/>
          <w:szCs w:val="28"/>
        </w:rPr>
        <w:t xml:space="preserve">за Кредитните институции, </w:t>
      </w:r>
      <w:r>
        <w:rPr>
          <w:rFonts w:cs="Times New Roman" w:ascii="Times New Roman" w:hAnsi="Times New Roman"/>
          <w:i/>
          <w:sz w:val="28"/>
          <w:szCs w:val="28"/>
        </w:rPr>
        <w:t>Банката(кредитна институция) е юридическо лице, което извършва публично привличане на влогове или други възстановими средства и предоставя кредити или друго</w:t>
      </w:r>
      <w:r>
        <w:rPr>
          <w:rFonts w:cs="Times New Roman" w:ascii="Times New Roman" w:hAnsi="Times New Roman"/>
          <w:i/>
          <w:sz w:val="28"/>
          <w:szCs w:val="28"/>
          <w:shd w:fill="FFFFFF" w:val="clear"/>
        </w:rPr>
        <w:t xml:space="preserve"> </w:t>
      </w:r>
      <w:r>
        <w:rPr>
          <w:rFonts w:cs="Times New Roman" w:ascii="Times New Roman" w:hAnsi="Times New Roman"/>
          <w:i/>
          <w:sz w:val="28"/>
          <w:szCs w:val="28"/>
        </w:rPr>
        <w:t>финансиране</w:t>
      </w:r>
      <w:r>
        <w:rPr>
          <w:i/>
        </w:rPr>
        <w:t xml:space="preserve"> </w:t>
      </w:r>
      <w:r>
        <w:rPr>
          <w:rFonts w:cs="Times New Roman" w:ascii="Times New Roman" w:hAnsi="Times New Roman"/>
          <w:i/>
          <w:sz w:val="28"/>
          <w:szCs w:val="28"/>
        </w:rPr>
        <w:t>за своя сметка и на собствен риск</w:t>
      </w:r>
      <w:r>
        <w:rPr>
          <w:i/>
        </w:rPr>
        <w:t>.</w:t>
      </w:r>
    </w:p>
    <w:p>
      <w:pPr>
        <w:pStyle w:val="Normal"/>
        <w:spacing w:lineRule="auto" w:line="360"/>
        <w:jc w:val="both"/>
        <w:rPr>
          <w:rFonts w:ascii="Times New Roman" w:hAnsi="Times New Roman" w:cs="Times New Roman"/>
          <w:sz w:val="18"/>
          <w:szCs w:val="18"/>
          <w:shd w:fill="FFFFFF" w:val="clear"/>
        </w:rPr>
      </w:pPr>
      <w:r>
        <w:rPr>
          <w:rFonts w:cs="Times New Roman" w:ascii="Times New Roman" w:hAnsi="Times New Roman"/>
          <w:sz w:val="18"/>
          <w:szCs w:val="18"/>
          <w:shd w:fill="FFFFFF" w:val="clear"/>
        </w:rPr>
        <w:t xml:space="preserve">             </w:t>
      </w: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 xml:space="preserve">Всяка банка, от момента на своето възникване, осъществява редица дейности, които се наричат </w:t>
      </w:r>
      <w:r>
        <w:rPr>
          <w:rFonts w:cs="Times New Roman" w:ascii="Times New Roman" w:hAnsi="Times New Roman"/>
          <w:i/>
          <w:sz w:val="28"/>
          <w:szCs w:val="28"/>
          <w:shd w:fill="FFFFFF" w:val="clear"/>
        </w:rPr>
        <w:t>банкови операции</w:t>
      </w:r>
      <w:r>
        <w:rPr>
          <w:rFonts w:cs="Times New Roman" w:ascii="Times New Roman" w:hAnsi="Times New Roman"/>
          <w:sz w:val="28"/>
          <w:szCs w:val="28"/>
          <w:shd w:fill="FFFFFF" w:val="clear"/>
        </w:rPr>
        <w:t xml:space="preserve">, като те могат да бъдат разделени в три основни групи : </w:t>
      </w:r>
    </w:p>
    <w:p>
      <w:pPr>
        <w:pStyle w:val="ListParagraph"/>
        <w:numPr>
          <w:ilvl w:val="0"/>
          <w:numId w:val="1"/>
        </w:numPr>
        <w:spacing w:lineRule="auto" w:line="360"/>
        <w:jc w:val="both"/>
        <w:rPr>
          <w:rFonts w:ascii="Times New Roman" w:hAnsi="Times New Roman" w:cs="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пасивни</w:t>
      </w:r>
    </w:p>
    <w:p>
      <w:pPr>
        <w:pStyle w:val="ListParagraph"/>
        <w:numPr>
          <w:ilvl w:val="0"/>
          <w:numId w:val="1"/>
        </w:numPr>
        <w:spacing w:lineRule="auto" w:line="360"/>
        <w:jc w:val="both"/>
        <w:rPr>
          <w:rFonts w:ascii="Times New Roman" w:hAnsi="Times New Roman" w:cs="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активни</w:t>
      </w:r>
    </w:p>
    <w:p>
      <w:pPr>
        <w:pStyle w:val="ListParagraph"/>
        <w:numPr>
          <w:ilvl w:val="0"/>
          <w:numId w:val="1"/>
        </w:numPr>
        <w:spacing w:lineRule="auto" w:line="360"/>
        <w:jc w:val="both"/>
        <w:rPr>
          <w:rFonts w:ascii="Times New Roman" w:hAnsi="Times New Roman" w:cs="Times New Roman"/>
          <w:sz w:val="28"/>
          <w:szCs w:val="28"/>
          <w:shd w:fill="FFFFFF" w:val="clear"/>
        </w:rPr>
      </w:pPr>
      <w:r>
        <w:rPr>
          <w:rFonts w:cs="Times New Roman" w:ascii="Times New Roman" w:hAnsi="Times New Roman"/>
          <w:sz w:val="28"/>
          <w:szCs w:val="28"/>
          <w:shd w:fill="FFFFFF" w:val="clear"/>
        </w:rPr>
        <w:t xml:space="preserve">неутрални   </w:t>
      </w:r>
    </w:p>
    <w:p>
      <w:pPr>
        <w:pStyle w:val="Normal"/>
        <w:spacing w:lineRule="auto" w:line="360"/>
        <w:jc w:val="both"/>
        <w:rPr>
          <w:rFonts w:ascii="Times New Roman" w:hAnsi="Times New Roman" w:cs="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За целите на този труд, не е необходимо да се разяснява поотделно какво представлява всеки вид от тези операции  по отделно.Достатъчно е да се отбележи, че</w:t>
      </w:r>
      <w:r>
        <w:rPr>
          <w:rFonts w:cs="Times New Roman" w:ascii="Times New Roman" w:hAnsi="Times New Roman"/>
          <w:b/>
          <w:sz w:val="28"/>
          <w:szCs w:val="28"/>
          <w:shd w:fill="FFFFFF" w:val="clear"/>
        </w:rPr>
        <w:t xml:space="preserve"> кредитирането</w:t>
      </w:r>
      <w:r>
        <w:rPr>
          <w:rFonts w:cs="Times New Roman" w:ascii="Times New Roman" w:hAnsi="Times New Roman"/>
          <w:sz w:val="28"/>
          <w:szCs w:val="28"/>
          <w:shd w:fill="FFFFFF" w:val="clear"/>
        </w:rPr>
        <w:t xml:space="preserve"> е една от основните дейности, които банките извършват. То спада към т.нар. ”</w:t>
      </w:r>
      <w:r>
        <w:rPr>
          <w:rFonts w:cs="Times New Roman" w:ascii="Times New Roman" w:hAnsi="Times New Roman"/>
          <w:i/>
          <w:sz w:val="28"/>
          <w:szCs w:val="28"/>
          <w:shd w:fill="FFFFFF" w:val="clear"/>
        </w:rPr>
        <w:t>активни банкови операции</w:t>
      </w:r>
      <w:r>
        <w:rPr>
          <w:rFonts w:cs="Times New Roman" w:ascii="Times New Roman" w:hAnsi="Times New Roman"/>
          <w:sz w:val="28"/>
          <w:szCs w:val="28"/>
          <w:shd w:fill="FFFFFF" w:val="clear"/>
        </w:rPr>
        <w:t xml:space="preserve">” които, са свързани с предоставяне за временно ползване на неограничен кръг трети лица на набраните средства или капитали. Основната форма и най-типична сделка, чийто предмет са активни операции е договорът за </w:t>
      </w:r>
      <w:r>
        <w:rPr>
          <w:rFonts w:cs="Times New Roman" w:ascii="Times New Roman" w:hAnsi="Times New Roman"/>
          <w:i/>
          <w:sz w:val="28"/>
          <w:szCs w:val="28"/>
          <w:shd w:fill="FFFFFF" w:val="clear"/>
        </w:rPr>
        <w:t>банков кредит</w:t>
      </w:r>
      <w:r>
        <w:rPr>
          <w:rFonts w:cs="Times New Roman" w:ascii="Times New Roman" w:hAnsi="Times New Roman"/>
          <w:sz w:val="28"/>
          <w:szCs w:val="28"/>
          <w:shd w:fill="FFFFFF" w:val="clear"/>
        </w:rPr>
        <w:t>. Чрез него се предоставят за временно ползване пари, средства на кредитополучателя. Банковият кредит е проява на участието на банките по косвен път в стопанския живот, защото чрез механизма на кредитирането се насочват временно свободни парични средства от един сектор на икономиката в друг. Чрез кредитирането се заместват действителните парични преводи доколкото кредитите се отпускат безкасово.</w:t>
      </w:r>
    </w:p>
    <w:p>
      <w:pPr>
        <w:pStyle w:val="Normal"/>
        <w:spacing w:lineRule="auto" w:line="360"/>
        <w:jc w:val="both"/>
        <w:rPr>
          <w:rFonts w:ascii="Times New Roman" w:hAnsi="Times New Roman" w:cs="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 xml:space="preserve">Кредитирането насърчава икономическия живот, поради това, че кредитополучателят е заинтересован целта, заради която получава кредита да се реализира бързо, защото дължи лихви по нея. Чрез кредитирането се осъществяват и контролни функции, тъй като банките имат право да осъществяват контрол по повод използването на средствата.   </w:t>
      </w:r>
    </w:p>
    <w:p>
      <w:pPr>
        <w:pStyle w:val="Normal"/>
        <w:spacing w:lineRule="auto" w:line="360"/>
        <w:jc w:val="both"/>
        <w:rPr>
          <w:rFonts w:ascii="Times New Roman" w:hAnsi="Times New Roman" w:cs="Times New Roman"/>
          <w:sz w:val="28"/>
          <w:szCs w:val="28"/>
          <w:shd w:fill="FFFFFF" w:val="clear"/>
        </w:rPr>
      </w:pPr>
      <w:r>
        <w:rPr>
          <w:rFonts w:cs="Times New Roman" w:ascii="Times New Roman" w:hAnsi="Times New Roman"/>
          <w:sz w:val="28"/>
          <w:szCs w:val="28"/>
          <w:shd w:fill="FFFFFF" w:val="clear"/>
        </w:rPr>
      </w:r>
    </w:p>
    <w:p>
      <w:pPr>
        <w:pStyle w:val="Normal"/>
        <w:spacing w:lineRule="auto" w:line="360"/>
        <w:jc w:val="center"/>
        <w:rPr>
          <w:rFonts w:ascii="Times New Roman" w:hAnsi="Times New Roman" w:cs="Times New Roman"/>
          <w:b/>
          <w:b/>
          <w:sz w:val="32"/>
          <w:szCs w:val="32"/>
          <w:u w:val="single"/>
          <w:shd w:fill="FFFFFF" w:val="clear"/>
        </w:rPr>
      </w:pPr>
      <w:r>
        <w:rPr>
          <w:rFonts w:cs="Times New Roman" w:ascii="Times New Roman" w:hAnsi="Times New Roman"/>
          <w:b/>
          <w:sz w:val="32"/>
          <w:szCs w:val="32"/>
          <w:u w:val="single"/>
          <w:shd w:fill="FFFFFF" w:val="clear"/>
        </w:rPr>
        <w:t>Видове кредити</w:t>
      </w:r>
    </w:p>
    <w:p>
      <w:pPr>
        <w:pStyle w:val="ListParagraph"/>
        <w:numPr>
          <w:ilvl w:val="0"/>
          <w:numId w:val="3"/>
        </w:numPr>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С оглед на </w:t>
      </w:r>
      <w:r>
        <w:rPr>
          <w:rFonts w:cs="Times New Roman" w:ascii="Times New Roman" w:hAnsi="Times New Roman"/>
          <w:b/>
          <w:sz w:val="28"/>
          <w:szCs w:val="28"/>
        </w:rPr>
        <w:t>начина на отпускане и счетоводното оформяне</w:t>
      </w:r>
      <w:r>
        <w:rPr>
          <w:rFonts w:cs="Times New Roman" w:ascii="Times New Roman" w:hAnsi="Times New Roman"/>
          <w:sz w:val="28"/>
          <w:szCs w:val="28"/>
        </w:rPr>
        <w:t xml:space="preserve"> на кредита, биват :</w:t>
      </w:r>
    </w:p>
    <w:p>
      <w:pPr>
        <w:pStyle w:val="ListParagraph"/>
        <w:numPr>
          <w:ilvl w:val="0"/>
          <w:numId w:val="2"/>
        </w:numPr>
        <w:spacing w:lineRule="auto" w:line="360"/>
        <w:jc w:val="both"/>
        <w:rPr>
          <w:rFonts w:ascii="Times New Roman" w:hAnsi="Times New Roman" w:cs="Times New Roman"/>
          <w:sz w:val="28"/>
          <w:szCs w:val="28"/>
        </w:rPr>
      </w:pPr>
      <w:r>
        <w:rPr>
          <w:rFonts w:cs="Times New Roman" w:ascii="Times New Roman" w:hAnsi="Times New Roman"/>
          <w:b/>
          <w:i/>
          <w:sz w:val="28"/>
          <w:szCs w:val="28"/>
        </w:rPr>
        <w:t>Сконтов</w:t>
      </w:r>
      <w:r>
        <w:rPr>
          <w:rFonts w:cs="Times New Roman" w:ascii="Times New Roman" w:hAnsi="Times New Roman"/>
          <w:i/>
          <w:sz w:val="28"/>
          <w:szCs w:val="28"/>
        </w:rPr>
        <w:t xml:space="preserve"> (сконтиране на менителници)</w:t>
      </w:r>
      <w:r>
        <w:rPr>
          <w:rFonts w:cs="Times New Roman" w:ascii="Times New Roman" w:hAnsi="Times New Roman"/>
          <w:sz w:val="28"/>
          <w:szCs w:val="28"/>
        </w:rPr>
        <w:t xml:space="preserve"> - Предоставя се посредством изкупуване на търговски секюритизирани и несекюритизирани дългови ценни книжа (менителници, записи на заповед), при покупка преди падежа, както и на вземания по търговски фактури, преводи, акредитиви и инкасота, платими при банката. </w:t>
      </w:r>
    </w:p>
    <w:p>
      <w:pPr>
        <w:pStyle w:val="ListParagraph"/>
        <w:numPr>
          <w:ilvl w:val="0"/>
          <w:numId w:val="2"/>
        </w:numPr>
        <w:spacing w:lineRule="auto" w:line="360"/>
        <w:jc w:val="both"/>
        <w:rPr>
          <w:rFonts w:ascii="Times New Roman" w:hAnsi="Times New Roman" w:cs="Times New Roman"/>
          <w:sz w:val="28"/>
          <w:szCs w:val="28"/>
        </w:rPr>
      </w:pPr>
      <w:r>
        <w:rPr>
          <w:rFonts w:cs="Times New Roman" w:ascii="Times New Roman" w:hAnsi="Times New Roman"/>
          <w:b/>
          <w:i/>
          <w:sz w:val="28"/>
          <w:szCs w:val="28"/>
        </w:rPr>
        <w:t>Акцептивен</w:t>
      </w:r>
      <w:r>
        <w:rPr>
          <w:rFonts w:cs="Times New Roman" w:ascii="Times New Roman" w:hAnsi="Times New Roman"/>
          <w:sz w:val="28"/>
          <w:szCs w:val="28"/>
        </w:rPr>
        <w:t xml:space="preserve"> – при него банката акцептира теглене срещу неменителница от издателя, при условие че той плати менителницата преди края на падежа. При този вид кредите едното лице е издател – кредитополучател. Платеца е банката.</w:t>
      </w:r>
    </w:p>
    <w:p>
      <w:pPr>
        <w:pStyle w:val="ListParagraph"/>
        <w:numPr>
          <w:ilvl w:val="0"/>
          <w:numId w:val="2"/>
        </w:numPr>
        <w:spacing w:lineRule="auto" w:line="360"/>
        <w:jc w:val="both"/>
        <w:rPr>
          <w:rFonts w:ascii="Times New Roman" w:hAnsi="Times New Roman" w:cs="Times New Roman"/>
          <w:sz w:val="28"/>
          <w:szCs w:val="28"/>
        </w:rPr>
      </w:pPr>
      <w:r>
        <w:rPr>
          <w:rFonts w:cs="Times New Roman" w:ascii="Times New Roman" w:hAnsi="Times New Roman"/>
          <w:b/>
          <w:i/>
          <w:sz w:val="28"/>
          <w:szCs w:val="28"/>
        </w:rPr>
        <w:t>Револвиращ</w:t>
      </w:r>
      <w:r>
        <w:rPr>
          <w:rFonts w:cs="Times New Roman" w:ascii="Times New Roman" w:hAnsi="Times New Roman"/>
          <w:sz w:val="28"/>
          <w:szCs w:val="28"/>
        </w:rPr>
        <w:t xml:space="preserve"> – автоматично възобновяем кредит в рамките на предварително уговорена сума. С цел да не се сключват последователни кредити при нужда от свежи капиталови средства.</w:t>
      </w:r>
    </w:p>
    <w:p>
      <w:pPr>
        <w:pStyle w:val="ListParagraph"/>
        <w:numPr>
          <w:ilvl w:val="0"/>
          <w:numId w:val="2"/>
        </w:numPr>
        <w:spacing w:lineRule="auto" w:line="360"/>
        <w:jc w:val="both"/>
        <w:rPr>
          <w:rFonts w:ascii="Times New Roman" w:hAnsi="Times New Roman" w:cs="Times New Roman"/>
          <w:sz w:val="28"/>
          <w:szCs w:val="28"/>
        </w:rPr>
      </w:pPr>
      <w:r>
        <w:rPr>
          <w:rFonts w:cs="Times New Roman" w:ascii="Times New Roman" w:hAnsi="Times New Roman"/>
          <w:b/>
          <w:i/>
          <w:sz w:val="28"/>
          <w:szCs w:val="28"/>
        </w:rPr>
        <w:t>Овърдрафт</w:t>
      </w:r>
      <w:r>
        <w:rPr>
          <w:rFonts w:cs="Times New Roman" w:ascii="Times New Roman" w:hAnsi="Times New Roman"/>
          <w:sz w:val="28"/>
          <w:szCs w:val="28"/>
        </w:rPr>
        <w:t xml:space="preserve"> –необезпечен, високолихвен (поради висок риск) краткосрочен кредит. Банката отпуска на разплащателната сметка на титуляра.  </w:t>
      </w:r>
    </w:p>
    <w:p>
      <w:pPr>
        <w:pStyle w:val="ListParagraph"/>
        <w:numPr>
          <w:ilvl w:val="0"/>
          <w:numId w:val="2"/>
        </w:numPr>
        <w:spacing w:lineRule="auto" w:line="360"/>
        <w:jc w:val="both"/>
        <w:rPr>
          <w:rFonts w:ascii="Times New Roman" w:hAnsi="Times New Roman" w:cs="Times New Roman"/>
          <w:sz w:val="28"/>
          <w:szCs w:val="28"/>
        </w:rPr>
      </w:pPr>
      <w:r>
        <w:rPr>
          <w:rFonts w:cs="Times New Roman" w:ascii="Times New Roman" w:hAnsi="Times New Roman"/>
          <w:b/>
          <w:i/>
          <w:sz w:val="28"/>
          <w:szCs w:val="28"/>
        </w:rPr>
        <w:t>Мостов</w:t>
      </w:r>
      <w:r>
        <w:rPr>
          <w:rFonts w:cs="Times New Roman" w:ascii="Times New Roman" w:hAnsi="Times New Roman"/>
          <w:sz w:val="28"/>
          <w:szCs w:val="28"/>
        </w:rPr>
        <w:t xml:space="preserve"> – краткосрочен кредит.  Банката отпуска парична сума за закупуване на оперативни активи, като средствата за погасяването му се осигуряват от други активи. Може да бъде във връзка с придобиване на недвижими имоти или оперативни програми (безвъзмездно финансиране). </w:t>
      </w:r>
    </w:p>
    <w:p>
      <w:pPr>
        <w:pStyle w:val="ListParagraph"/>
        <w:numPr>
          <w:ilvl w:val="0"/>
          <w:numId w:val="2"/>
        </w:numPr>
        <w:spacing w:lineRule="auto" w:line="360"/>
        <w:jc w:val="both"/>
        <w:rPr>
          <w:rFonts w:ascii="Times New Roman" w:hAnsi="Times New Roman" w:cs="Times New Roman"/>
          <w:sz w:val="28"/>
          <w:szCs w:val="28"/>
        </w:rPr>
      </w:pPr>
      <w:r>
        <w:rPr>
          <w:rFonts w:cs="Times New Roman" w:ascii="Times New Roman" w:hAnsi="Times New Roman"/>
          <w:b/>
          <w:i/>
          <w:sz w:val="28"/>
          <w:szCs w:val="28"/>
        </w:rPr>
        <w:t>Кредит за оборотни средства</w:t>
      </w:r>
      <w:r>
        <w:rPr>
          <w:rFonts w:cs="Times New Roman" w:ascii="Times New Roman" w:hAnsi="Times New Roman"/>
          <w:sz w:val="28"/>
          <w:szCs w:val="28"/>
        </w:rPr>
        <w:t xml:space="preserve"> – краткосрочен. Служи за финансиране на текущи плащания.</w:t>
      </w:r>
    </w:p>
    <w:p>
      <w:pPr>
        <w:pStyle w:val="ListParagraph"/>
        <w:numPr>
          <w:ilvl w:val="0"/>
          <w:numId w:val="2"/>
        </w:numPr>
        <w:spacing w:lineRule="auto" w:line="360"/>
        <w:jc w:val="both"/>
        <w:rPr>
          <w:rFonts w:ascii="Times New Roman" w:hAnsi="Times New Roman" w:cs="Times New Roman"/>
          <w:sz w:val="28"/>
          <w:szCs w:val="28"/>
        </w:rPr>
      </w:pPr>
      <w:r>
        <w:rPr>
          <w:rFonts w:cs="Times New Roman" w:ascii="Times New Roman" w:hAnsi="Times New Roman"/>
          <w:b/>
          <w:i/>
          <w:sz w:val="28"/>
          <w:szCs w:val="28"/>
        </w:rPr>
        <w:t>Студентски кредит</w:t>
      </w:r>
      <w:r>
        <w:rPr>
          <w:rFonts w:cs="Times New Roman" w:ascii="Times New Roman" w:hAnsi="Times New Roman"/>
          <w:sz w:val="28"/>
          <w:szCs w:val="28"/>
        </w:rPr>
        <w:t xml:space="preserve"> – отпуска се за студенти и докторанти, като той е необезпечен. При него не се дължат комисионни, но има минимална лихва.</w:t>
      </w:r>
    </w:p>
    <w:p>
      <w:pPr>
        <w:pStyle w:val="ListParagraph"/>
        <w:numPr>
          <w:ilvl w:val="0"/>
          <w:numId w:val="2"/>
        </w:numPr>
        <w:spacing w:lineRule="auto" w:line="360"/>
        <w:jc w:val="both"/>
        <w:rPr>
          <w:rFonts w:ascii="Times New Roman" w:hAnsi="Times New Roman" w:cs="Times New Roman"/>
          <w:sz w:val="28"/>
          <w:szCs w:val="28"/>
        </w:rPr>
      </w:pPr>
      <w:r>
        <w:rPr>
          <w:rFonts w:cs="Times New Roman" w:ascii="Times New Roman" w:hAnsi="Times New Roman"/>
          <w:b/>
          <w:i/>
          <w:sz w:val="28"/>
          <w:szCs w:val="28"/>
        </w:rPr>
        <w:t>Синдикиран кредит</w:t>
      </w:r>
      <w:r>
        <w:rPr>
          <w:rFonts w:cs="Times New Roman" w:ascii="Times New Roman" w:hAnsi="Times New Roman"/>
          <w:sz w:val="28"/>
          <w:szCs w:val="28"/>
        </w:rPr>
        <w:t xml:space="preserve"> – отпуска се от повече от една банка, като всяка банка предоставя част от кредита. </w:t>
      </w:r>
      <w:r>
        <w:rPr>
          <w:rStyle w:val="FootnoteAnchor"/>
          <w:rFonts w:cs="Times New Roman" w:ascii="Times New Roman" w:hAnsi="Times New Roman"/>
          <w:sz w:val="28"/>
          <w:szCs w:val="28"/>
        </w:rPr>
        <w:footnoteReference w:id="2"/>
      </w:r>
    </w:p>
    <w:p>
      <w:pPr>
        <w:pStyle w:val="ListParagraph"/>
        <w:spacing w:lineRule="auto" w:line="36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360"/>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36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jc w:val="center"/>
        <w:rPr>
          <w:rFonts w:ascii="Times New Roman" w:hAnsi="Times New Roman" w:cs="Times New Roman"/>
          <w:b/>
          <w:b/>
          <w:sz w:val="32"/>
          <w:szCs w:val="32"/>
          <w:u w:val="single"/>
        </w:rPr>
      </w:pPr>
      <w:r>
        <w:rPr>
          <w:rFonts w:cs="Times New Roman" w:ascii="Times New Roman" w:hAnsi="Times New Roman"/>
          <w:b/>
          <w:sz w:val="32"/>
          <w:szCs w:val="32"/>
          <w:u w:val="single"/>
        </w:rPr>
        <w:t>Договор за Банков кредит</w:t>
      </w:r>
    </w:p>
    <w:p>
      <w:pPr>
        <w:pStyle w:val="ListParagraph"/>
        <w:spacing w:lineRule="auto" w:line="360"/>
        <w:jc w:val="center"/>
        <w:rPr>
          <w:rFonts w:ascii="Times New Roman" w:hAnsi="Times New Roman" w:cs="Times New Roman"/>
          <w:b/>
          <w:b/>
          <w:sz w:val="32"/>
          <w:szCs w:val="32"/>
          <w:u w:val="single"/>
        </w:rPr>
      </w:pPr>
      <w:r>
        <w:rPr>
          <w:rFonts w:cs="Times New Roman" w:ascii="Times New Roman" w:hAnsi="Times New Roman"/>
          <w:b/>
          <w:sz w:val="32"/>
          <w:szCs w:val="32"/>
          <w:u w:val="single"/>
        </w:rPr>
      </w:r>
    </w:p>
    <w:p>
      <w:pPr>
        <w:pStyle w:val="ListParagraph"/>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С договора за банков кредит банката се задължава да отпусне на кредитополучателя парична сума за определена цел и при уговорени условия и срок, а кредитополучателя се задължава да ползва сумата съобразно уговореното и да я върне след изтичане на срока. Кредитополучателя плаща лихва по кредита, катор реалното предоставяне на паричната сума може да се извърши и след сключването на договора и не представлява условие за неговата валидност. </w:t>
      </w:r>
    </w:p>
    <w:p>
      <w:pPr>
        <w:pStyle w:val="ListParagraph"/>
        <w:spacing w:lineRule="auto" w:line="360"/>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Договорът за банков кредит притежава следните основни характеристики :</w:t>
      </w:r>
    </w:p>
    <w:p>
      <w:pPr>
        <w:pStyle w:val="ListParagraph"/>
        <w:numPr>
          <w:ilvl w:val="0"/>
          <w:numId w:val="4"/>
        </w:numPr>
        <w:spacing w:lineRule="auto" w:line="360"/>
        <w:jc w:val="both"/>
        <w:rPr>
          <w:rFonts w:ascii="Times New Roman" w:hAnsi="Times New Roman" w:cs="Times New Roman"/>
          <w:sz w:val="28"/>
          <w:szCs w:val="28"/>
        </w:rPr>
      </w:pPr>
      <w:r>
        <w:rPr>
          <w:rFonts w:cs="Times New Roman" w:ascii="Times New Roman" w:hAnsi="Times New Roman"/>
          <w:b/>
          <w:i/>
          <w:sz w:val="28"/>
          <w:szCs w:val="28"/>
        </w:rPr>
        <w:t>двустранен</w:t>
      </w:r>
      <w:r>
        <w:rPr>
          <w:rFonts w:cs="Times New Roman" w:ascii="Times New Roman" w:hAnsi="Times New Roman"/>
          <w:sz w:val="28"/>
          <w:szCs w:val="28"/>
        </w:rPr>
        <w:t xml:space="preserve"> – банката и кредитополучателя са обвързани с права и задължения по между си</w:t>
      </w:r>
    </w:p>
    <w:p>
      <w:pPr>
        <w:pStyle w:val="ListParagraph"/>
        <w:numPr>
          <w:ilvl w:val="0"/>
          <w:numId w:val="4"/>
        </w:numPr>
        <w:spacing w:lineRule="auto" w:line="360"/>
        <w:jc w:val="both"/>
        <w:rPr>
          <w:rFonts w:ascii="Times New Roman" w:hAnsi="Times New Roman" w:cs="Times New Roman"/>
          <w:sz w:val="28"/>
          <w:szCs w:val="28"/>
        </w:rPr>
      </w:pPr>
      <w:r>
        <w:rPr>
          <w:rFonts w:cs="Times New Roman" w:ascii="Times New Roman" w:hAnsi="Times New Roman"/>
          <w:b/>
          <w:i/>
          <w:sz w:val="28"/>
          <w:szCs w:val="28"/>
        </w:rPr>
        <w:t>консенсуален</w:t>
      </w:r>
      <w:r>
        <w:rPr>
          <w:rFonts w:cs="Times New Roman" w:ascii="Times New Roman" w:hAnsi="Times New Roman"/>
          <w:sz w:val="28"/>
          <w:szCs w:val="28"/>
        </w:rPr>
        <w:t xml:space="preserve"> – проявява своето действие по волята на страните, най-често от датата на подписването му</w:t>
      </w:r>
    </w:p>
    <w:p>
      <w:pPr>
        <w:pStyle w:val="ListParagraph"/>
        <w:numPr>
          <w:ilvl w:val="0"/>
          <w:numId w:val="4"/>
        </w:numPr>
        <w:spacing w:lineRule="auto" w:line="360"/>
        <w:jc w:val="both"/>
        <w:rPr>
          <w:rFonts w:ascii="Times New Roman" w:hAnsi="Times New Roman" w:cs="Times New Roman"/>
          <w:sz w:val="28"/>
          <w:szCs w:val="28"/>
        </w:rPr>
      </w:pPr>
      <w:r>
        <w:rPr>
          <w:rFonts w:cs="Times New Roman" w:ascii="Times New Roman" w:hAnsi="Times New Roman"/>
          <w:b/>
          <w:i/>
          <w:sz w:val="28"/>
          <w:szCs w:val="28"/>
        </w:rPr>
        <w:t>възмезден</w:t>
      </w:r>
      <w:r>
        <w:rPr>
          <w:rFonts w:cs="Times New Roman" w:ascii="Times New Roman" w:hAnsi="Times New Roman"/>
          <w:sz w:val="28"/>
          <w:szCs w:val="28"/>
        </w:rPr>
        <w:t xml:space="preserve"> – за предоставената парична сума, кредитополучателя дължи на банката възнаграждение</w:t>
      </w:r>
    </w:p>
    <w:p>
      <w:pPr>
        <w:pStyle w:val="ListParagraph"/>
        <w:numPr>
          <w:ilvl w:val="0"/>
          <w:numId w:val="4"/>
        </w:numPr>
        <w:spacing w:lineRule="auto" w:line="360"/>
        <w:jc w:val="both"/>
        <w:rPr>
          <w:rFonts w:ascii="Times New Roman" w:hAnsi="Times New Roman" w:cs="Times New Roman"/>
          <w:sz w:val="28"/>
          <w:szCs w:val="28"/>
        </w:rPr>
      </w:pPr>
      <w:r>
        <w:rPr>
          <w:rFonts w:cs="Times New Roman" w:ascii="Times New Roman" w:hAnsi="Times New Roman"/>
          <w:b/>
          <w:i/>
          <w:sz w:val="28"/>
          <w:szCs w:val="28"/>
        </w:rPr>
        <w:t>формален</w:t>
      </w:r>
      <w:r>
        <w:rPr>
          <w:rFonts w:cs="Times New Roman" w:ascii="Times New Roman" w:hAnsi="Times New Roman"/>
          <w:b/>
          <w:sz w:val="28"/>
          <w:szCs w:val="28"/>
        </w:rPr>
        <w:t xml:space="preserve"> </w:t>
      </w:r>
      <w:r>
        <w:rPr>
          <w:rFonts w:cs="Times New Roman" w:ascii="Times New Roman" w:hAnsi="Times New Roman"/>
          <w:sz w:val="28"/>
          <w:szCs w:val="28"/>
        </w:rPr>
        <w:t>– според чл. 430 ал.3 от Търговския закон се изисква договорът да е сключен в писмена форма, с цел гарантиране на съдържанието му</w:t>
      </w:r>
    </w:p>
    <w:p>
      <w:pPr>
        <w:pStyle w:val="ListParagraph"/>
        <w:numPr>
          <w:ilvl w:val="0"/>
          <w:numId w:val="4"/>
        </w:numPr>
        <w:spacing w:lineRule="auto" w:line="360"/>
        <w:jc w:val="both"/>
        <w:rPr>
          <w:rFonts w:ascii="Times New Roman" w:hAnsi="Times New Roman" w:cs="Times New Roman"/>
          <w:sz w:val="28"/>
          <w:szCs w:val="28"/>
        </w:rPr>
      </w:pPr>
      <w:r>
        <w:rPr>
          <w:rFonts w:cs="Times New Roman" w:ascii="Times New Roman" w:hAnsi="Times New Roman"/>
          <w:b/>
          <w:i/>
          <w:sz w:val="28"/>
          <w:szCs w:val="28"/>
        </w:rPr>
        <w:t>срочен</w:t>
      </w:r>
      <w:r>
        <w:rPr>
          <w:rFonts w:cs="Times New Roman" w:ascii="Times New Roman" w:hAnsi="Times New Roman"/>
          <w:sz w:val="28"/>
          <w:szCs w:val="28"/>
        </w:rPr>
        <w:t xml:space="preserve"> – предварително се уговаря определен срок за връщане на предоставената от банката парична сума</w:t>
      </w:r>
    </w:p>
    <w:p>
      <w:pPr>
        <w:pStyle w:val="ListParagraph"/>
        <w:numPr>
          <w:ilvl w:val="0"/>
          <w:numId w:val="4"/>
        </w:numPr>
        <w:spacing w:lineRule="auto" w:line="360"/>
        <w:jc w:val="both"/>
        <w:rPr>
          <w:rFonts w:ascii="Times New Roman" w:hAnsi="Times New Roman" w:cs="Times New Roman"/>
          <w:sz w:val="28"/>
          <w:szCs w:val="28"/>
        </w:rPr>
      </w:pPr>
      <w:r>
        <w:rPr>
          <w:rFonts w:cs="Times New Roman" w:ascii="Times New Roman" w:hAnsi="Times New Roman"/>
          <w:b/>
          <w:i/>
          <w:sz w:val="28"/>
          <w:szCs w:val="28"/>
        </w:rPr>
        <w:t>комутативен</w:t>
      </w:r>
      <w:r>
        <w:rPr>
          <w:rFonts w:cs="Times New Roman" w:ascii="Times New Roman" w:hAnsi="Times New Roman"/>
          <w:sz w:val="28"/>
          <w:szCs w:val="28"/>
        </w:rPr>
        <w:t xml:space="preserve"> – към момента на сключване, ползите за страните са известни.</w:t>
      </w:r>
    </w:p>
    <w:p>
      <w:pPr>
        <w:pStyle w:val="Normal"/>
        <w:spacing w:lineRule="auto" w:line="360"/>
        <w:jc w:val="center"/>
        <w:rPr>
          <w:rFonts w:ascii="Times New Roman" w:hAnsi="Times New Roman" w:cs="Times New Roman"/>
          <w:b/>
          <w:b/>
          <w:sz w:val="32"/>
          <w:szCs w:val="32"/>
          <w:u w:val="single"/>
        </w:rPr>
      </w:pPr>
      <w:r>
        <w:rPr>
          <w:rFonts w:cs="Times New Roman" w:ascii="Times New Roman" w:hAnsi="Times New Roman"/>
          <w:b/>
          <w:sz w:val="32"/>
          <w:szCs w:val="32"/>
          <w:u w:val="single"/>
        </w:rPr>
      </w:r>
    </w:p>
    <w:p>
      <w:pPr>
        <w:pStyle w:val="Normal"/>
        <w:spacing w:lineRule="auto" w:line="360"/>
        <w:jc w:val="center"/>
        <w:rPr>
          <w:rFonts w:ascii="Times New Roman" w:hAnsi="Times New Roman" w:cs="Times New Roman"/>
          <w:b/>
          <w:b/>
          <w:sz w:val="32"/>
          <w:szCs w:val="32"/>
          <w:u w:val="single"/>
        </w:rPr>
      </w:pPr>
      <w:r>
        <w:rPr>
          <w:rFonts w:cs="Times New Roman" w:ascii="Times New Roman" w:hAnsi="Times New Roman"/>
          <w:b/>
          <w:sz w:val="32"/>
          <w:szCs w:val="32"/>
          <w:u w:val="single"/>
        </w:rPr>
      </w:r>
    </w:p>
    <w:p>
      <w:pPr>
        <w:pStyle w:val="Normal"/>
        <w:spacing w:lineRule="auto" w:line="360"/>
        <w:jc w:val="center"/>
        <w:rPr>
          <w:rFonts w:ascii="Times New Roman" w:hAnsi="Times New Roman" w:cs="Times New Roman"/>
          <w:b/>
          <w:b/>
          <w:sz w:val="32"/>
          <w:szCs w:val="32"/>
          <w:u w:val="single"/>
        </w:rPr>
      </w:pPr>
      <w:r>
        <w:rPr>
          <w:rFonts w:cs="Times New Roman" w:ascii="Times New Roman" w:hAnsi="Times New Roman"/>
          <w:b/>
          <w:sz w:val="32"/>
          <w:szCs w:val="32"/>
          <w:u w:val="single"/>
        </w:rPr>
        <w:t>Правна уредба</w:t>
      </w:r>
    </w:p>
    <w:p>
      <w:pPr>
        <w:pStyle w:val="Normal"/>
        <w:spacing w:lineRule="auto" w:line="360"/>
        <w:jc w:val="both"/>
        <w:rPr>
          <w:rFonts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Договорът за банков кредит е уреден основно в Търговския закон, Закона за БНБ, Закона за кредитните институции както и в редица други </w:t>
      </w:r>
      <w:r>
        <w:rPr>
          <w:rFonts w:ascii="Times New Roman" w:hAnsi="Times New Roman"/>
          <w:sz w:val="28"/>
          <w:szCs w:val="28"/>
        </w:rPr>
        <w:t>законови и подзаконови нормативни актове като например Закона за задълженията и договорите и някои разпоредби на Гражданско-процесуалния кодекс.</w:t>
      </w:r>
    </w:p>
    <w:p>
      <w:pPr>
        <w:pStyle w:val="Normal"/>
        <w:spacing w:lineRule="auto" w:line="360"/>
        <w:jc w:val="both"/>
        <w:rPr>
          <w:rFonts w:ascii="Times New Roman" w:hAnsi="Times New Roman"/>
          <w:sz w:val="28"/>
          <w:szCs w:val="28"/>
        </w:rPr>
      </w:pPr>
      <w:r>
        <w:rPr>
          <w:rFonts w:ascii="Times New Roman" w:hAnsi="Times New Roman"/>
          <w:sz w:val="28"/>
          <w:szCs w:val="28"/>
        </w:rPr>
      </w:r>
    </w:p>
    <w:p>
      <w:pPr>
        <w:pStyle w:val="Normal"/>
        <w:spacing w:lineRule="auto" w:line="360"/>
        <w:jc w:val="both"/>
        <w:rPr>
          <w:rFonts w:ascii="Times New Roman" w:hAnsi="Times New Roman"/>
          <w:sz w:val="28"/>
          <w:szCs w:val="28"/>
        </w:rPr>
      </w:pPr>
      <w:r>
        <w:rPr>
          <w:rFonts w:ascii="Times New Roman" w:hAnsi="Times New Roman"/>
          <w:sz w:val="28"/>
          <w:szCs w:val="28"/>
        </w:rPr>
      </w:r>
    </w:p>
    <w:p>
      <w:pPr>
        <w:pStyle w:val="Normal"/>
        <w:spacing w:lineRule="auto" w:line="360"/>
        <w:rPr>
          <w:rFonts w:ascii="Times New Roman" w:hAnsi="Times New Roman"/>
          <w:sz w:val="28"/>
          <w:szCs w:val="28"/>
        </w:rPr>
      </w:pPr>
      <w:r>
        <w:rPr>
          <w:rFonts w:ascii="Times New Roman" w:hAnsi="Times New Roman"/>
          <w:sz w:val="28"/>
          <w:szCs w:val="28"/>
        </w:rPr>
      </w:r>
    </w:p>
    <w:p>
      <w:pPr>
        <w:pStyle w:val="Normal"/>
        <w:spacing w:lineRule="auto" w:line="360"/>
        <w:jc w:val="center"/>
        <w:rPr>
          <w:rFonts w:ascii="Times New Roman" w:hAnsi="Times New Roman" w:cs="Times New Roman"/>
          <w:b/>
          <w:b/>
          <w:sz w:val="32"/>
          <w:szCs w:val="32"/>
          <w:u w:val="single"/>
          <w:shd w:fill="FFFFFF" w:val="clear"/>
        </w:rPr>
      </w:pPr>
      <w:r>
        <w:rPr>
          <w:rFonts w:cs="Times New Roman" w:ascii="Times New Roman" w:hAnsi="Times New Roman"/>
          <w:b/>
          <w:sz w:val="32"/>
          <w:szCs w:val="32"/>
          <w:u w:val="single"/>
          <w:shd w:fill="FFFFFF" w:val="clear"/>
        </w:rPr>
        <w:t>Видове договори за Банков кредит</w:t>
      </w:r>
    </w:p>
    <w:p>
      <w:pPr>
        <w:pStyle w:val="ListParagraph"/>
        <w:numPr>
          <w:ilvl w:val="0"/>
          <w:numId w:val="3"/>
        </w:numPr>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С оглед на </w:t>
      </w:r>
      <w:r>
        <w:rPr>
          <w:rFonts w:cs="Times New Roman" w:ascii="Times New Roman" w:hAnsi="Times New Roman"/>
          <w:b/>
          <w:sz w:val="28"/>
          <w:szCs w:val="28"/>
        </w:rPr>
        <w:t>срока</w:t>
      </w:r>
      <w:r>
        <w:rPr>
          <w:rFonts w:cs="Times New Roman" w:ascii="Times New Roman" w:hAnsi="Times New Roman"/>
          <w:sz w:val="28"/>
          <w:szCs w:val="28"/>
        </w:rPr>
        <w:t>, договорите могат да се разделят на три основни вида:</w:t>
      </w:r>
    </w:p>
    <w:p>
      <w:pPr>
        <w:pStyle w:val="ListParagraph"/>
        <w:numPr>
          <w:ilvl w:val="0"/>
          <w:numId w:val="2"/>
        </w:numPr>
        <w:spacing w:lineRule="auto" w:line="360"/>
        <w:jc w:val="both"/>
        <w:rPr>
          <w:rFonts w:ascii="Times New Roman" w:hAnsi="Times New Roman" w:cs="Times New Roman"/>
          <w:sz w:val="28"/>
          <w:szCs w:val="28"/>
        </w:rPr>
      </w:pPr>
      <w:r>
        <w:rPr>
          <w:rFonts w:cs="Times New Roman" w:ascii="Times New Roman" w:hAnsi="Times New Roman"/>
          <w:i/>
          <w:sz w:val="28"/>
          <w:szCs w:val="28"/>
          <w:u w:val="single"/>
        </w:rPr>
        <w:t>Краткосрочни</w:t>
      </w:r>
      <w:r>
        <w:rPr>
          <w:rFonts w:cs="Times New Roman" w:ascii="Times New Roman" w:hAnsi="Times New Roman"/>
          <w:sz w:val="28"/>
          <w:szCs w:val="28"/>
        </w:rPr>
        <w:t xml:space="preserve"> (овърдрафт) – до 1 година;</w:t>
      </w:r>
    </w:p>
    <w:p>
      <w:pPr>
        <w:pStyle w:val="ListParagraph"/>
        <w:numPr>
          <w:ilvl w:val="0"/>
          <w:numId w:val="2"/>
        </w:numPr>
        <w:spacing w:lineRule="auto" w:line="360"/>
        <w:jc w:val="both"/>
        <w:rPr>
          <w:rFonts w:ascii="Times New Roman" w:hAnsi="Times New Roman" w:cs="Times New Roman"/>
          <w:sz w:val="28"/>
          <w:szCs w:val="28"/>
        </w:rPr>
      </w:pPr>
      <w:r>
        <w:rPr>
          <w:rFonts w:cs="Times New Roman" w:ascii="Times New Roman" w:hAnsi="Times New Roman"/>
          <w:i/>
          <w:sz w:val="28"/>
          <w:szCs w:val="28"/>
          <w:u w:val="single"/>
        </w:rPr>
        <w:t>Средносрочни</w:t>
      </w:r>
      <w:r>
        <w:rPr>
          <w:rFonts w:cs="Times New Roman" w:ascii="Times New Roman" w:hAnsi="Times New Roman"/>
          <w:sz w:val="28"/>
          <w:szCs w:val="28"/>
        </w:rPr>
        <w:t xml:space="preserve"> – от 1 до 3 години;</w:t>
      </w:r>
    </w:p>
    <w:p>
      <w:pPr>
        <w:pStyle w:val="ListParagraph"/>
        <w:numPr>
          <w:ilvl w:val="0"/>
          <w:numId w:val="2"/>
        </w:numPr>
        <w:spacing w:lineRule="auto" w:line="360"/>
        <w:jc w:val="both"/>
        <w:rPr>
          <w:rFonts w:ascii="Times New Roman" w:hAnsi="Times New Roman" w:cs="Times New Roman"/>
          <w:sz w:val="28"/>
          <w:szCs w:val="28"/>
        </w:rPr>
      </w:pPr>
      <w:r>
        <w:rPr>
          <w:rFonts w:cs="Times New Roman" w:ascii="Times New Roman" w:hAnsi="Times New Roman"/>
          <w:i/>
          <w:sz w:val="28"/>
          <w:szCs w:val="28"/>
          <w:u w:val="single"/>
        </w:rPr>
        <w:t>Дългосрочен</w:t>
      </w:r>
      <w:r>
        <w:rPr>
          <w:rFonts w:cs="Times New Roman" w:ascii="Times New Roman" w:hAnsi="Times New Roman"/>
          <w:i/>
          <w:sz w:val="28"/>
          <w:szCs w:val="28"/>
        </w:rPr>
        <w:t xml:space="preserve"> (инвестиционен)</w:t>
      </w:r>
      <w:r>
        <w:rPr>
          <w:rFonts w:cs="Times New Roman" w:ascii="Times New Roman" w:hAnsi="Times New Roman"/>
          <w:sz w:val="28"/>
          <w:szCs w:val="28"/>
        </w:rPr>
        <w:t xml:space="preserve"> – над 5 години;</w:t>
      </w:r>
    </w:p>
    <w:p>
      <w:pPr>
        <w:pStyle w:val="ListParagraph"/>
        <w:numPr>
          <w:ilvl w:val="0"/>
          <w:numId w:val="3"/>
        </w:numPr>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От гледна точка на </w:t>
      </w:r>
      <w:r>
        <w:rPr>
          <w:rFonts w:cs="Times New Roman" w:ascii="Times New Roman" w:hAnsi="Times New Roman"/>
          <w:b/>
          <w:sz w:val="28"/>
          <w:szCs w:val="28"/>
        </w:rPr>
        <w:t>начина на предоставяне</w:t>
      </w:r>
      <w:r>
        <w:rPr>
          <w:rFonts w:cs="Times New Roman" w:ascii="Times New Roman" w:hAnsi="Times New Roman"/>
          <w:sz w:val="28"/>
          <w:szCs w:val="28"/>
        </w:rPr>
        <w:t xml:space="preserve"> договорите за банков кредит мога да бъдат:</w:t>
      </w:r>
    </w:p>
    <w:p>
      <w:pPr>
        <w:pStyle w:val="ListParagraph"/>
        <w:numPr>
          <w:ilvl w:val="0"/>
          <w:numId w:val="2"/>
        </w:numPr>
        <w:spacing w:lineRule="auto" w:line="360"/>
        <w:jc w:val="both"/>
        <w:rPr>
          <w:rFonts w:ascii="Times New Roman" w:hAnsi="Times New Roman" w:cs="Times New Roman"/>
          <w:i/>
          <w:i/>
          <w:sz w:val="28"/>
          <w:szCs w:val="28"/>
          <w:u w:val="single"/>
        </w:rPr>
      </w:pPr>
      <w:r>
        <w:rPr>
          <w:rFonts w:cs="Times New Roman" w:ascii="Times New Roman" w:hAnsi="Times New Roman"/>
          <w:i/>
          <w:sz w:val="28"/>
          <w:szCs w:val="28"/>
          <w:u w:val="single"/>
        </w:rPr>
        <w:t>Еднократни кредити</w:t>
      </w:r>
    </w:p>
    <w:p>
      <w:pPr>
        <w:pStyle w:val="ListParagraph"/>
        <w:numPr>
          <w:ilvl w:val="0"/>
          <w:numId w:val="2"/>
        </w:numPr>
        <w:rPr>
          <w:rFonts w:ascii="Times New Roman" w:hAnsi="Times New Roman" w:cs="Times New Roman"/>
          <w:i/>
          <w:i/>
          <w:sz w:val="28"/>
          <w:szCs w:val="28"/>
          <w:u w:val="single"/>
        </w:rPr>
      </w:pPr>
      <w:r>
        <w:rPr>
          <w:rFonts w:cs="Times New Roman" w:ascii="Times New Roman" w:hAnsi="Times New Roman"/>
          <w:i/>
          <w:sz w:val="28"/>
          <w:szCs w:val="28"/>
          <w:u w:val="single"/>
        </w:rPr>
        <w:t>Кредитни линии</w:t>
      </w:r>
    </w:p>
    <w:p>
      <w:pPr>
        <w:pStyle w:val="ListParagraph"/>
        <w:numPr>
          <w:ilvl w:val="0"/>
          <w:numId w:val="3"/>
        </w:numPr>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От гледна точка на </w:t>
      </w:r>
      <w:r>
        <w:rPr>
          <w:rFonts w:cs="Times New Roman" w:ascii="Times New Roman" w:hAnsi="Times New Roman"/>
          <w:b/>
          <w:sz w:val="28"/>
          <w:szCs w:val="28"/>
        </w:rPr>
        <w:t>обезпечаването</w:t>
      </w:r>
      <w:r>
        <w:rPr>
          <w:rFonts w:cs="Times New Roman" w:ascii="Times New Roman" w:hAnsi="Times New Roman"/>
          <w:sz w:val="28"/>
          <w:szCs w:val="28"/>
        </w:rPr>
        <w:t xml:space="preserve"> на кредита договорите могат да бъдат:</w:t>
      </w:r>
    </w:p>
    <w:p>
      <w:pPr>
        <w:pStyle w:val="ListParagraph"/>
        <w:numPr>
          <w:ilvl w:val="0"/>
          <w:numId w:val="2"/>
        </w:numPr>
        <w:spacing w:lineRule="auto" w:line="360"/>
        <w:jc w:val="both"/>
        <w:rPr>
          <w:rFonts w:ascii="Times New Roman" w:hAnsi="Times New Roman" w:cs="Times New Roman"/>
          <w:sz w:val="28"/>
          <w:szCs w:val="28"/>
        </w:rPr>
      </w:pPr>
      <w:r>
        <w:rPr>
          <w:rFonts w:cs="Times New Roman" w:ascii="Times New Roman" w:hAnsi="Times New Roman"/>
          <w:b/>
          <w:i/>
          <w:sz w:val="28"/>
          <w:szCs w:val="28"/>
        </w:rPr>
        <w:t>Ломбарден</w:t>
      </w:r>
      <w:r>
        <w:rPr>
          <w:rFonts w:cs="Times New Roman" w:ascii="Times New Roman" w:hAnsi="Times New Roman"/>
          <w:sz w:val="28"/>
          <w:szCs w:val="28"/>
        </w:rPr>
        <w:t xml:space="preserve"> – обезпечен със залог на движими вещи (машини, стоки в оборот, злато, сребро, чужда валута, складове, транспортни средства) или ценни книжа. Залога се учредява съгласно Закона за особените залози. </w:t>
      </w:r>
    </w:p>
    <w:p>
      <w:pPr>
        <w:pStyle w:val="ListParagraph"/>
        <w:numPr>
          <w:ilvl w:val="0"/>
          <w:numId w:val="2"/>
        </w:numPr>
        <w:spacing w:lineRule="auto" w:line="360"/>
        <w:jc w:val="both"/>
        <w:rPr>
          <w:rFonts w:ascii="Times New Roman" w:hAnsi="Times New Roman" w:cs="Times New Roman"/>
          <w:sz w:val="28"/>
          <w:szCs w:val="28"/>
        </w:rPr>
      </w:pPr>
      <w:r>
        <w:rPr>
          <w:rFonts w:cs="Times New Roman" w:ascii="Times New Roman" w:hAnsi="Times New Roman"/>
          <w:b/>
          <w:i/>
          <w:sz w:val="28"/>
          <w:szCs w:val="28"/>
        </w:rPr>
        <w:t>Варантен кредит</w:t>
      </w:r>
      <w:r>
        <w:rPr>
          <w:rFonts w:cs="Times New Roman" w:ascii="Times New Roman" w:hAnsi="Times New Roman"/>
          <w:sz w:val="28"/>
          <w:szCs w:val="28"/>
        </w:rPr>
        <w:t xml:space="preserve"> -   обезпечен със залог върху складов запис за стоки в публичен склад с право на даване – варант. За обезпечение служи произведената продукция. Използва се в случаите, когато има производство с големи обеми.</w:t>
      </w:r>
    </w:p>
    <w:p>
      <w:pPr>
        <w:pStyle w:val="ListParagraph"/>
        <w:numPr>
          <w:ilvl w:val="0"/>
          <w:numId w:val="2"/>
        </w:numPr>
        <w:spacing w:lineRule="auto" w:line="360"/>
        <w:jc w:val="both"/>
        <w:rPr>
          <w:rFonts w:ascii="Times New Roman" w:hAnsi="Times New Roman" w:cs="Times New Roman"/>
          <w:sz w:val="28"/>
          <w:szCs w:val="28"/>
        </w:rPr>
      </w:pPr>
      <w:r>
        <w:rPr>
          <w:rFonts w:cs="Times New Roman" w:ascii="Times New Roman" w:hAnsi="Times New Roman"/>
          <w:b/>
          <w:i/>
          <w:sz w:val="28"/>
          <w:szCs w:val="28"/>
        </w:rPr>
        <w:t>Ипотечен кредит</w:t>
      </w:r>
      <w:r>
        <w:rPr>
          <w:rFonts w:cs="Times New Roman" w:ascii="Times New Roman" w:hAnsi="Times New Roman"/>
          <w:sz w:val="28"/>
          <w:szCs w:val="28"/>
        </w:rPr>
        <w:t xml:space="preserve"> – обезпечен със залог от недвижимо имущество (ипотека). Ипотеката може да бъде договорна и законна, като нормативната уредба се състои </w:t>
      </w:r>
      <w:r>
        <w:rPr>
          <w:rFonts w:cs="Times New Roman" w:ascii="Times New Roman" w:hAnsi="Times New Roman"/>
          <w:b/>
          <w:sz w:val="28"/>
          <w:szCs w:val="28"/>
        </w:rPr>
        <w:t>в чл.60</w:t>
      </w:r>
      <w:r>
        <w:rPr>
          <w:rFonts w:cs="Times New Roman" w:ascii="Times New Roman" w:hAnsi="Times New Roman"/>
          <w:sz w:val="28"/>
          <w:szCs w:val="28"/>
        </w:rPr>
        <w:t xml:space="preserve"> от </w:t>
      </w:r>
      <w:r>
        <w:rPr>
          <w:rFonts w:cs="Times New Roman" w:ascii="Times New Roman" w:hAnsi="Times New Roman"/>
          <w:i/>
          <w:sz w:val="28"/>
          <w:szCs w:val="28"/>
        </w:rPr>
        <w:t>Закон за кредитните институции</w:t>
      </w:r>
      <w:r>
        <w:rPr>
          <w:rFonts w:cs="Times New Roman" w:ascii="Times New Roman" w:hAnsi="Times New Roman"/>
          <w:sz w:val="28"/>
          <w:szCs w:val="28"/>
        </w:rPr>
        <w:t>.</w:t>
      </w:r>
      <w:r>
        <w:rPr>
          <w:rStyle w:val="FootnoteAnchor"/>
          <w:rFonts w:cs="Times New Roman" w:ascii="Times New Roman" w:hAnsi="Times New Roman"/>
          <w:sz w:val="28"/>
          <w:szCs w:val="28"/>
          <w:lang w:val="en-US"/>
        </w:rPr>
        <w:footnoteReference w:id="3"/>
      </w:r>
      <w:r>
        <w:rPr>
          <w:rFonts w:cs="Times New Roman" w:ascii="Times New Roman" w:hAnsi="Times New Roman"/>
          <w:sz w:val="28"/>
          <w:szCs w:val="28"/>
          <w:lang w:val="en-US"/>
        </w:rPr>
        <w:br/>
      </w:r>
    </w:p>
    <w:p>
      <w:pPr>
        <w:pStyle w:val="Normal"/>
        <w:spacing w:lineRule="auto" w:line="360"/>
        <w:jc w:val="both"/>
        <w:rPr>
          <w:rFonts w:ascii="Times New Roman" w:hAnsi="Times New Roman" w:cs="Times New Roman"/>
          <w:b/>
          <w:b/>
          <w:i/>
          <w:i/>
          <w:sz w:val="28"/>
          <w:szCs w:val="28"/>
        </w:rPr>
      </w:pPr>
      <w:r>
        <w:rPr>
          <w:rFonts w:cs="Times New Roman" w:ascii="Times New Roman" w:hAnsi="Times New Roman"/>
          <w:b/>
          <w:i/>
          <w:sz w:val="28"/>
          <w:szCs w:val="28"/>
        </w:rPr>
      </w:r>
    </w:p>
    <w:p>
      <w:pPr>
        <w:pStyle w:val="ListParagraph"/>
        <w:spacing w:lineRule="auto" w:line="360"/>
        <w:jc w:val="center"/>
        <w:rPr>
          <w:rFonts w:ascii="Times New Roman" w:hAnsi="Times New Roman" w:cs="Times New Roman"/>
          <w:b/>
          <w:b/>
          <w:sz w:val="32"/>
          <w:szCs w:val="32"/>
          <w:u w:val="single"/>
        </w:rPr>
      </w:pPr>
      <w:r>
        <w:rPr>
          <w:rFonts w:cs="Times New Roman" w:ascii="Times New Roman" w:hAnsi="Times New Roman"/>
          <w:b/>
          <w:sz w:val="32"/>
          <w:szCs w:val="32"/>
          <w:u w:val="single"/>
        </w:rPr>
        <w:t>Страни по договора</w:t>
      </w:r>
    </w:p>
    <w:p>
      <w:pPr>
        <w:pStyle w:val="ListParagraph"/>
        <w:spacing w:lineRule="auto" w:line="360"/>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Страни по договора са </w:t>
      </w:r>
      <w:r>
        <w:rPr>
          <w:rFonts w:cs="Times New Roman" w:ascii="Times New Roman" w:hAnsi="Times New Roman"/>
          <w:b/>
          <w:sz w:val="28"/>
          <w:szCs w:val="28"/>
        </w:rPr>
        <w:t>кредитодателят (кредиторът)</w:t>
      </w:r>
      <w:r>
        <w:rPr>
          <w:rFonts w:cs="Times New Roman" w:ascii="Times New Roman" w:hAnsi="Times New Roman"/>
          <w:sz w:val="28"/>
          <w:szCs w:val="28"/>
        </w:rPr>
        <w:t xml:space="preserve"> и </w:t>
      </w:r>
      <w:r>
        <w:rPr>
          <w:rFonts w:cs="Times New Roman" w:ascii="Times New Roman" w:hAnsi="Times New Roman"/>
          <w:b/>
          <w:sz w:val="28"/>
          <w:szCs w:val="28"/>
        </w:rPr>
        <w:t>кредитополучателят</w:t>
      </w:r>
      <w:r>
        <w:rPr>
          <w:rFonts w:cs="Times New Roman" w:ascii="Times New Roman" w:hAnsi="Times New Roman"/>
          <w:sz w:val="28"/>
          <w:szCs w:val="28"/>
        </w:rPr>
        <w:t xml:space="preserve">. </w:t>
      </w:r>
    </w:p>
    <w:p>
      <w:pPr>
        <w:pStyle w:val="ListParagraph"/>
        <w:numPr>
          <w:ilvl w:val="0"/>
          <w:numId w:val="5"/>
        </w:numPr>
        <w:spacing w:lineRule="auto" w:line="360"/>
        <w:jc w:val="both"/>
        <w:rPr>
          <w:rFonts w:ascii="Times New Roman" w:hAnsi="Times New Roman" w:cs="Times New Roman"/>
          <w:sz w:val="28"/>
          <w:szCs w:val="28"/>
        </w:rPr>
      </w:pPr>
      <w:r>
        <w:rPr>
          <w:rFonts w:cs="Times New Roman" w:ascii="Times New Roman" w:hAnsi="Times New Roman"/>
          <w:i/>
          <w:sz w:val="28"/>
          <w:szCs w:val="28"/>
        </w:rPr>
        <w:t>Кредитодателят</w:t>
      </w:r>
      <w:r>
        <w:rPr>
          <w:rFonts w:cs="Times New Roman" w:ascii="Times New Roman" w:hAnsi="Times New Roman"/>
          <w:sz w:val="28"/>
          <w:szCs w:val="28"/>
        </w:rPr>
        <w:t xml:space="preserve"> е лицето, което предоставя за ползване банковия кредит, съответно поема ангажимент за плащане на банкова гаранция, акредитив и т.н.</w:t>
      </w:r>
    </w:p>
    <w:p>
      <w:pPr>
        <w:pStyle w:val="ListParagraph"/>
        <w:spacing w:lineRule="auto" w:line="360"/>
        <w:ind w:left="1920" w:hanging="0"/>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5"/>
        </w:numPr>
        <w:spacing w:lineRule="auto" w:line="360"/>
        <w:jc w:val="both"/>
        <w:rPr>
          <w:rFonts w:ascii="Times New Roman" w:hAnsi="Times New Roman" w:cs="Times New Roman"/>
          <w:sz w:val="28"/>
          <w:szCs w:val="28"/>
        </w:rPr>
      </w:pPr>
      <w:r>
        <w:rPr>
          <w:rFonts w:cs="Times New Roman" w:ascii="Times New Roman" w:hAnsi="Times New Roman"/>
          <w:i/>
          <w:sz w:val="28"/>
          <w:szCs w:val="28"/>
        </w:rPr>
        <w:t>Кредитополучателят</w:t>
      </w:r>
      <w:r>
        <w:rPr>
          <w:rFonts w:cs="Times New Roman" w:ascii="Times New Roman" w:hAnsi="Times New Roman"/>
          <w:sz w:val="28"/>
          <w:szCs w:val="28"/>
        </w:rPr>
        <w:t xml:space="preserve"> е лицето, което ползва предоставената му парична сума по договора, съответно лицето по нареждане на което се поема условния кредитен ангажимент. Банковият кредит , когато е свързан с публично влогонабиране, представлява една от основните видове банкови сделки, определящи банковата дейност, посредством които Законът за кредитните институции дефинира понятието за банка. Законът не поставя специални изисквания към кредитополучателя. Достатъчно е той да е пълнолетен и дееспособен (ако се отнася за физическо лице) или правоспособно юридическо лице, което не е прекратено поради ликвидация или несъстоятелност.</w:t>
      </w:r>
    </w:p>
    <w:p>
      <w:pPr>
        <w:pStyle w:val="ListParagraph"/>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t>
      </w:r>
    </w:p>
    <w:p>
      <w:pPr>
        <w:pStyle w:val="ListParagraph"/>
        <w:spacing w:lineRule="auto" w:line="360"/>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360"/>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360"/>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360"/>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360"/>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360"/>
        <w:jc w:val="center"/>
        <w:rPr>
          <w:rFonts w:ascii="Times New Roman" w:hAnsi="Times New Roman" w:cs="Times New Roman"/>
          <w:b/>
          <w:b/>
          <w:sz w:val="32"/>
          <w:szCs w:val="32"/>
          <w:u w:val="single"/>
        </w:rPr>
      </w:pPr>
      <w:r>
        <w:rPr>
          <w:rFonts w:cs="Times New Roman" w:ascii="Times New Roman" w:hAnsi="Times New Roman"/>
          <w:b/>
          <w:sz w:val="32"/>
          <w:szCs w:val="32"/>
          <w:u w:val="single"/>
        </w:rPr>
      </w:r>
    </w:p>
    <w:p>
      <w:pPr>
        <w:pStyle w:val="ListParagraph"/>
        <w:spacing w:lineRule="auto" w:line="360"/>
        <w:jc w:val="center"/>
        <w:rPr>
          <w:rFonts w:ascii="Times New Roman" w:hAnsi="Times New Roman" w:cs="Times New Roman"/>
          <w:b/>
          <w:b/>
          <w:sz w:val="32"/>
          <w:szCs w:val="32"/>
          <w:u w:val="single"/>
        </w:rPr>
      </w:pPr>
      <w:r>
        <w:rPr>
          <w:rFonts w:cs="Times New Roman" w:ascii="Times New Roman" w:hAnsi="Times New Roman"/>
          <w:b/>
          <w:sz w:val="32"/>
          <w:szCs w:val="32"/>
          <w:u w:val="single"/>
        </w:rPr>
        <w:t>Права и задължения на страните</w:t>
      </w:r>
    </w:p>
    <w:p>
      <w:pPr>
        <w:pStyle w:val="ListParagraph"/>
        <w:spacing w:lineRule="auto" w:line="360"/>
        <w:jc w:val="center"/>
        <w:rPr>
          <w:rFonts w:ascii="Times New Roman" w:hAnsi="Times New Roman" w:cs="Times New Roman"/>
          <w:b/>
          <w:b/>
          <w:sz w:val="32"/>
          <w:szCs w:val="32"/>
          <w:u w:val="single"/>
        </w:rPr>
      </w:pPr>
      <w:r>
        <w:rPr>
          <w:rFonts w:cs="Times New Roman" w:ascii="Times New Roman" w:hAnsi="Times New Roman"/>
          <w:b/>
          <w:sz w:val="32"/>
          <w:szCs w:val="32"/>
          <w:u w:val="single"/>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Съгласно </w:t>
      </w:r>
      <w:r>
        <w:rPr>
          <w:rFonts w:cs="Times New Roman" w:ascii="Times New Roman" w:hAnsi="Times New Roman"/>
          <w:b/>
          <w:sz w:val="28"/>
          <w:szCs w:val="28"/>
        </w:rPr>
        <w:t>чл. 58</w:t>
      </w:r>
      <w:r>
        <w:rPr>
          <w:rFonts w:cs="Times New Roman" w:ascii="Times New Roman" w:hAnsi="Times New Roman"/>
          <w:sz w:val="28"/>
          <w:szCs w:val="28"/>
        </w:rPr>
        <w:t xml:space="preserve"> от </w:t>
      </w:r>
      <w:r>
        <w:rPr>
          <w:rFonts w:cs="Times New Roman" w:ascii="Times New Roman" w:hAnsi="Times New Roman"/>
          <w:i/>
          <w:sz w:val="28"/>
          <w:szCs w:val="28"/>
        </w:rPr>
        <w:t>Закона за кредитните институции</w:t>
      </w:r>
      <w:r>
        <w:rPr>
          <w:rFonts w:cs="Times New Roman" w:ascii="Times New Roman" w:hAnsi="Times New Roman"/>
          <w:sz w:val="28"/>
          <w:szCs w:val="28"/>
        </w:rPr>
        <w:t xml:space="preserve"> при отпускане на кредит </w:t>
      </w:r>
      <w:r>
        <w:rPr>
          <w:rFonts w:cs="Times New Roman" w:ascii="Times New Roman" w:hAnsi="Times New Roman"/>
          <w:b/>
          <w:sz w:val="28"/>
          <w:szCs w:val="28"/>
        </w:rPr>
        <w:t>банката</w:t>
      </w:r>
      <w:r>
        <w:rPr>
          <w:rFonts w:cs="Times New Roman" w:ascii="Times New Roman" w:hAnsi="Times New Roman"/>
          <w:sz w:val="28"/>
          <w:szCs w:val="28"/>
        </w:rPr>
        <w:t xml:space="preserve"> предоставя безплатно и в писмена форма на клиента своите условия по кредитите, които съдържат най-малко:</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6"/>
        </w:numPr>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данни за общите разходи по кредита (такси, комисиони и други разходи,пряко свързани с договора за кредит) и за обективните критерии, въз основа накоито тези разходи могат да се изменят;</w:t>
      </w:r>
    </w:p>
    <w:p>
      <w:pPr>
        <w:pStyle w:val="ListParagraph"/>
        <w:numPr>
          <w:ilvl w:val="0"/>
          <w:numId w:val="6"/>
        </w:numPr>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t>лихвения процент, изразен като годишен лихвен процент, метода за изчисляване на лихвата, както и условията, при които може да се променя лихвата допълното погасяване на кредита;</w:t>
      </w:r>
    </w:p>
    <w:p>
      <w:pPr>
        <w:pStyle w:val="ListParagraph"/>
        <w:numPr>
          <w:ilvl w:val="0"/>
          <w:numId w:val="6"/>
        </w:numPr>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t>допълнителните задължения, свързани с разплащанията;</w:t>
      </w:r>
    </w:p>
    <w:p>
      <w:pPr>
        <w:pStyle w:val="ListParagraph"/>
        <w:numPr>
          <w:ilvl w:val="0"/>
          <w:numId w:val="6"/>
        </w:numPr>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t>условията и разходите при предсрочно погасяване на кредита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Законът задължава страните да определят изрично и изчерпателно всички разходи по кредита с договора за кредит, включително за случаите на предсрочно погасяване.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При </w:t>
      </w:r>
      <w:r>
        <w:rPr>
          <w:rFonts w:cs="Times New Roman" w:ascii="Times New Roman" w:hAnsi="Times New Roman"/>
          <w:b/>
          <w:i/>
          <w:sz w:val="28"/>
          <w:szCs w:val="28"/>
        </w:rPr>
        <w:t>потребителския кредит</w:t>
      </w:r>
      <w:r>
        <w:rPr>
          <w:rFonts w:cs="Times New Roman" w:ascii="Times New Roman" w:hAnsi="Times New Roman"/>
          <w:sz w:val="28"/>
          <w:szCs w:val="28"/>
        </w:rPr>
        <w:t xml:space="preserve"> договорът задължително посочва общия размер на кредита (общата сума, предоставяна по договора) и условията за усвояването му, като в противен случай може да бъде обявен за недействителен</w:t>
      </w:r>
      <w:r>
        <w:rPr>
          <w:rStyle w:val="FootnoteAnchor"/>
          <w:rFonts w:cs="Times New Roman" w:ascii="Times New Roman" w:hAnsi="Times New Roman"/>
          <w:sz w:val="28"/>
          <w:szCs w:val="28"/>
        </w:rPr>
        <w:footnoteReference w:id="4"/>
      </w:r>
      <w:r>
        <w:rPr>
          <w:rFonts w:cs="Times New Roman" w:ascii="Times New Roman" w:hAnsi="Times New Roman"/>
          <w:sz w:val="28"/>
          <w:szCs w:val="28"/>
        </w:rPr>
        <w:t>.Когато потребителския кредит е под формата на разсрочено плащане за стока или услуга или при свързани договори за кредит, Законът за Потребителски Кредит изисква да се посочи стоката или услугата и нейната цена в брой, като неизпълнението на това изискване води до недействителност на целия договор</w:t>
      </w:r>
      <w:r>
        <w:rPr>
          <w:rStyle w:val="FootnoteAnchor"/>
          <w:rFonts w:cs="Times New Roman" w:ascii="Times New Roman" w:hAnsi="Times New Roman"/>
          <w:sz w:val="28"/>
          <w:szCs w:val="28"/>
        </w:rPr>
        <w:footnoteReference w:id="5"/>
      </w:r>
      <w:r>
        <w:rPr>
          <w:rFonts w:cs="Times New Roman" w:ascii="Times New Roman" w:hAnsi="Times New Roman"/>
          <w:sz w:val="28"/>
          <w:szCs w:val="28"/>
        </w:rPr>
        <w:t xml:space="preserve"> .Договорът за потребителския кредит следва да дава ясна  представа за всички дължими от потребителя плащания, в това число лихвения процент по кредита, условията за прилагането му и индекс или референтен лихвен процент, който е свързан с първоначалния лихвен процент, както и периодите, условията и процедурите за промяна на лихвения процент, като ако при различни обстоятелства се прилагат разсрочни лихвени проценти, тази информация се предоставя на всички приложими лихвени проценти, като в противен случай договорът може да бъде обявен за недействителен </w:t>
      </w:r>
      <w:r>
        <w:rPr>
          <w:rStyle w:val="FootnoteAnchor"/>
          <w:rFonts w:cs="Times New Roman" w:ascii="Times New Roman" w:hAnsi="Times New Roman"/>
          <w:sz w:val="28"/>
          <w:szCs w:val="28"/>
        </w:rPr>
        <w:footnoteReference w:id="6"/>
      </w:r>
      <w:r>
        <w:rPr>
          <w:rFonts w:cs="Times New Roman" w:ascii="Times New Roman" w:hAnsi="Times New Roman"/>
          <w:sz w:val="28"/>
          <w:szCs w:val="28"/>
        </w:rPr>
        <w:t>. Законът изисква в договора за потребителски кредит да се посочи и Годишния потребителски разход (ГПР) и общата сума, дължима от потребителя, изчислени към момента на сключване на договора, които потребителя трябва да направи за да издължи кредита, като в противен случай, договорът също може да бъде обявен за недействителен</w:t>
      </w:r>
      <w:r>
        <w:rPr>
          <w:rStyle w:val="FootnoteAnchor"/>
          <w:rFonts w:cs="Times New Roman" w:ascii="Times New Roman" w:hAnsi="Times New Roman"/>
          <w:sz w:val="28"/>
          <w:szCs w:val="28"/>
        </w:rPr>
        <w:footnoteReference w:id="7"/>
      </w:r>
      <w:r>
        <w:rPr>
          <w:rFonts w:cs="Times New Roman" w:ascii="Times New Roman" w:hAnsi="Times New Roman"/>
          <w:sz w:val="28"/>
          <w:szCs w:val="28"/>
        </w:rPr>
        <w:t>. ГПР по кредита изразява общите разходи по кредита за потребителя, настоящи или бъдещи (лихви, други преки или косвени разходи, комисиони, възнаграждения от всякакъв вид в това число тези, дължими на посредниците за сключване на договора), изразени като годишен процент от общия размер на предоставения кредит</w:t>
      </w:r>
      <w:r>
        <w:rPr>
          <w:rStyle w:val="FootnoteAnchor"/>
          <w:rFonts w:cs="Times New Roman" w:ascii="Times New Roman" w:hAnsi="Times New Roman"/>
          <w:sz w:val="28"/>
          <w:szCs w:val="28"/>
        </w:rPr>
        <w:footnoteReference w:id="8"/>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Съгласно </w:t>
      </w:r>
      <w:r>
        <w:rPr>
          <w:rFonts w:cs="Times New Roman" w:ascii="Times New Roman" w:hAnsi="Times New Roman"/>
          <w:b/>
          <w:sz w:val="28"/>
          <w:szCs w:val="28"/>
        </w:rPr>
        <w:t>чл. 59</w:t>
      </w:r>
      <w:r>
        <w:rPr>
          <w:rFonts w:cs="Times New Roman" w:ascii="Times New Roman" w:hAnsi="Times New Roman"/>
          <w:sz w:val="28"/>
          <w:szCs w:val="28"/>
        </w:rPr>
        <w:t xml:space="preserve"> от </w:t>
      </w:r>
      <w:r>
        <w:rPr>
          <w:rFonts w:cs="Times New Roman" w:ascii="Times New Roman" w:hAnsi="Times New Roman"/>
          <w:i/>
          <w:sz w:val="28"/>
          <w:szCs w:val="28"/>
        </w:rPr>
        <w:t>Законът за кредитните институции</w:t>
      </w:r>
      <w:r>
        <w:rPr>
          <w:rFonts w:cs="Times New Roman" w:ascii="Times New Roman" w:hAnsi="Times New Roman"/>
          <w:sz w:val="28"/>
          <w:szCs w:val="28"/>
        </w:rPr>
        <w:t xml:space="preserve">, </w:t>
      </w:r>
      <w:r>
        <w:rPr>
          <w:rFonts w:cs="Times New Roman" w:ascii="Times New Roman" w:hAnsi="Times New Roman"/>
          <w:b/>
          <w:sz w:val="28"/>
          <w:szCs w:val="28"/>
        </w:rPr>
        <w:t>банката</w:t>
      </w:r>
      <w:r>
        <w:rPr>
          <w:rFonts w:cs="Times New Roman" w:ascii="Times New Roman" w:hAnsi="Times New Roman"/>
          <w:sz w:val="28"/>
          <w:szCs w:val="28"/>
        </w:rPr>
        <w:t xml:space="preserve"> е длъжна да обявява условията по кредитите в помещения, до които клиентите имат достъп, като ги формулира ясно и по разбираем за клиентите начин. При поискване от клиентите, банката е длъжна да предоставя и допълнителна информация.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b/>
          <w:sz w:val="28"/>
          <w:szCs w:val="28"/>
        </w:rPr>
        <w:t>Банката</w:t>
      </w:r>
      <w:r>
        <w:rPr>
          <w:rFonts w:cs="Times New Roman" w:ascii="Times New Roman" w:hAnsi="Times New Roman"/>
          <w:sz w:val="28"/>
          <w:szCs w:val="28"/>
        </w:rPr>
        <w:t xml:space="preserve"> като кредитор е длъжна да отпусне на кредитополучателя определената в договора парична сума, но реалното предоставяне на същата може да се извърши и след сключването на договора. При стандартните банкови кредити, това става в рамките на срока на ползване. Началото на срока на ползване съвпада с датата на подписване на договора за кредит. Ползването обаче, често се обуславя от изпълнението на определени предварителни условия. Такива могат да бъдат условията за обезпечаване на кредита т.е. учредавяване на ипотека върху недвижими имоти, залог на движими вещи, ценни книжа, вземание и т.н. Ползването на кредита може да зависи и от предоставяне на определена информация и документи, както и изпълнението на други клаузи на договора за кредит (като например, представяне на поръчки или договори, сключени с трети лица, разрешения на държавни органи и т.н.).</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След като предварителните условия за ползване на суми по кредита бъдат изпълнени т.е. кредитът стане оперативен, </w:t>
      </w:r>
      <w:r>
        <w:rPr>
          <w:rFonts w:cs="Times New Roman" w:ascii="Times New Roman" w:hAnsi="Times New Roman"/>
          <w:b/>
          <w:sz w:val="28"/>
          <w:szCs w:val="28"/>
        </w:rPr>
        <w:t>кредитополучателят</w:t>
      </w:r>
      <w:r>
        <w:rPr>
          <w:rFonts w:cs="Times New Roman" w:ascii="Times New Roman" w:hAnsi="Times New Roman"/>
          <w:sz w:val="28"/>
          <w:szCs w:val="28"/>
        </w:rPr>
        <w:t xml:space="preserve"> има право да заяви ползването им по предвидения в договора ред. Кредитополучателя не е длъжен да използва пълния размер на отпуснатия му кредит. В рамките на срока на ползване, съобразно нуждите си от финансиране и клаузите на договора, кредитополучателят заявява пред банката намерението си да се ползва изцяло или отчасти от предоставения му кредит. Банката не може да откаже предоставянето на исканите суми, стига кредитът да е оперативен и искането да е постъпило съобразно клаузите на договора.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b/>
          <w:sz w:val="28"/>
          <w:szCs w:val="28"/>
        </w:rPr>
        <w:t>Кредитополучателя</w:t>
      </w:r>
      <w:r>
        <w:rPr>
          <w:rFonts w:cs="Times New Roman" w:ascii="Times New Roman" w:hAnsi="Times New Roman"/>
          <w:sz w:val="28"/>
          <w:szCs w:val="28"/>
        </w:rPr>
        <w:t xml:space="preserve"> е длъжен да използва предоставените му суми по кредита за целите, за които същите са били предвидени в договора, сключен с банката. В противен случай, по силата на </w:t>
      </w:r>
      <w:r>
        <w:rPr>
          <w:rFonts w:cs="Times New Roman" w:ascii="Times New Roman" w:hAnsi="Times New Roman"/>
          <w:b/>
          <w:sz w:val="28"/>
          <w:szCs w:val="28"/>
        </w:rPr>
        <w:t>чл. 432 ал. 1 т.1</w:t>
      </w:r>
      <w:r>
        <w:rPr>
          <w:rFonts w:cs="Times New Roman" w:ascii="Times New Roman" w:hAnsi="Times New Roman"/>
          <w:sz w:val="28"/>
          <w:szCs w:val="28"/>
        </w:rPr>
        <w:t xml:space="preserve"> от </w:t>
      </w:r>
      <w:r>
        <w:rPr>
          <w:rFonts w:cs="Times New Roman" w:ascii="Times New Roman" w:hAnsi="Times New Roman"/>
          <w:i/>
          <w:sz w:val="28"/>
          <w:szCs w:val="28"/>
        </w:rPr>
        <w:t>Търговския закон</w:t>
      </w:r>
      <w:r>
        <w:rPr>
          <w:rFonts w:cs="Times New Roman" w:ascii="Times New Roman" w:hAnsi="Times New Roman"/>
          <w:sz w:val="28"/>
          <w:szCs w:val="28"/>
        </w:rPr>
        <w:t xml:space="preserve">, връщането на кредита става предсрочно изискуемо. В договорите за кредит банките установяват механизми за следене спазването на целевото използване на отпуснатите суми по кредита.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През срока на ползване на кредита банката не получава лихва върху неусвоената част от кредита. Тъй като банката е лишена от възможността да използва ефективно неусвоената сума по кредита за други цели, защото е „резервирана” в полза на кредитополучателя, банката договаря плащане на комисиона за ангажимент, която да я обезщети за пропуснатите доходи от неусвоените по кредита суми през срока на ползване. С изтичане на срока на ползване при стандартните кредити правото на кредиполучателя да усвоява разрешените, но неусвоени суми по кредита се погасява.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При </w:t>
      </w:r>
      <w:r>
        <w:rPr>
          <w:rFonts w:cs="Times New Roman" w:ascii="Times New Roman" w:hAnsi="Times New Roman"/>
          <w:b/>
          <w:i/>
          <w:sz w:val="28"/>
          <w:szCs w:val="28"/>
        </w:rPr>
        <w:t>револвиращите кредити</w:t>
      </w:r>
      <w:r>
        <w:rPr>
          <w:rFonts w:cs="Times New Roman" w:ascii="Times New Roman" w:hAnsi="Times New Roman"/>
          <w:i/>
          <w:sz w:val="28"/>
          <w:szCs w:val="28"/>
        </w:rPr>
        <w:t xml:space="preserve">  </w:t>
      </w:r>
      <w:r>
        <w:rPr>
          <w:rFonts w:cs="Times New Roman" w:ascii="Times New Roman" w:hAnsi="Times New Roman"/>
          <w:sz w:val="28"/>
          <w:szCs w:val="28"/>
        </w:rPr>
        <w:t>кредитополучателят може да усвоява и погасява кредита в рамките на определен период (период на револвиране) до определен кредитен лимит, съобразно промените в нуждите си от финансиране, стига в края на периодът кредитът да бъде изцяло погасен. Последното е условие за револвирането (възобновяването) на кредита, който се счита за продължен и през следващия период при същите условия, без да е необходимо сключването на нов договор за кредит или анексирането на съществуващия такъв. През периодите на револвиране, банката не събира комисиона за ангажимент върху неусвоените суми до лимита, подобно на стандартните кредити през периода на ползване.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Договорът следва да съдържа информация за правото на кредитополучателя при погасяване на главницата по договора за кредит да получи при поискване и безвъзмездно, във всеки един момент от изпълнението на договора, извлечение по сметка под формата на погасителен план за извършените и предстоящите плащания, като в противен случай при потребителските кредити договорът може да бъде обявен за недействителен</w:t>
      </w:r>
      <w:r>
        <w:rPr>
          <w:rStyle w:val="FootnoteAnchor"/>
          <w:rFonts w:cs="Times New Roman" w:ascii="Times New Roman" w:hAnsi="Times New Roman"/>
          <w:sz w:val="28"/>
          <w:szCs w:val="28"/>
        </w:rPr>
        <w:footnoteReference w:id="9"/>
      </w:r>
      <w:r>
        <w:rPr>
          <w:rFonts w:cs="Times New Roman" w:ascii="Times New Roman" w:hAnsi="Times New Roman"/>
          <w:sz w:val="28"/>
          <w:szCs w:val="28"/>
        </w:rPr>
        <w:t xml:space="preserve">.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Наред с вида, размера, валутата на кредита, целта за която е предоставен, предварителните условия за ползване, начина и сроковете за ползване и погасяване на кредита, в това число и падежите за изплащане на лихвите и главницата, условията за предсрочно погасяване, договорът за банков кредит съдържа клаузи с декларации и потвърждения от страна на кредитополучателя и другите задължени по договора лица относно тяхното правно и финансово положение, валидността на направените във връзка с договора изявления, в това число и относно изпълнението на поети с договора за кредит задължения, като например за подържане на определени финансови съотношения, за въздържане от рапзределяне на дивиденти, ползване на кредити и т.н.</w:t>
      </w:r>
    </w:p>
    <w:p>
      <w:pPr>
        <w:pStyle w:val="ListParagraph"/>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Съгласно </w:t>
      </w:r>
      <w:r>
        <w:rPr>
          <w:rFonts w:cs="Times New Roman" w:ascii="Times New Roman" w:hAnsi="Times New Roman"/>
          <w:b/>
          <w:sz w:val="28"/>
          <w:szCs w:val="28"/>
        </w:rPr>
        <w:t>чл. 431</w:t>
      </w:r>
      <w:r>
        <w:rPr>
          <w:rFonts w:cs="Times New Roman" w:ascii="Times New Roman" w:hAnsi="Times New Roman"/>
          <w:sz w:val="28"/>
          <w:szCs w:val="28"/>
        </w:rPr>
        <w:t xml:space="preserve"> от </w:t>
      </w:r>
      <w:r>
        <w:rPr>
          <w:rFonts w:cs="Times New Roman" w:ascii="Times New Roman" w:hAnsi="Times New Roman"/>
          <w:i/>
          <w:sz w:val="28"/>
          <w:szCs w:val="28"/>
        </w:rPr>
        <w:t>Търговския закон</w:t>
      </w:r>
      <w:r>
        <w:rPr>
          <w:rFonts w:cs="Times New Roman" w:ascii="Times New Roman" w:hAnsi="Times New Roman"/>
          <w:sz w:val="28"/>
          <w:szCs w:val="28"/>
        </w:rPr>
        <w:t xml:space="preserve">, кредитополучателят е длъжен да даде на банката необходимите сведения във връзка със сключването и изпълнението на договора. От друга страна, по силата на </w:t>
      </w:r>
      <w:r>
        <w:rPr>
          <w:rFonts w:cs="Times New Roman" w:ascii="Times New Roman" w:hAnsi="Times New Roman"/>
          <w:b/>
          <w:sz w:val="28"/>
          <w:szCs w:val="28"/>
        </w:rPr>
        <w:t>чл. 61</w:t>
      </w:r>
      <w:r>
        <w:rPr>
          <w:rFonts w:cs="Times New Roman" w:ascii="Times New Roman" w:hAnsi="Times New Roman"/>
          <w:sz w:val="28"/>
          <w:szCs w:val="28"/>
        </w:rPr>
        <w:t xml:space="preserve"> от </w:t>
      </w:r>
      <w:r>
        <w:rPr>
          <w:rFonts w:cs="Times New Roman" w:ascii="Times New Roman" w:hAnsi="Times New Roman"/>
          <w:i/>
          <w:sz w:val="28"/>
          <w:szCs w:val="28"/>
        </w:rPr>
        <w:t>Закона за кредититните институции</w:t>
      </w:r>
      <w:r>
        <w:rPr>
          <w:rFonts w:cs="Times New Roman" w:ascii="Times New Roman" w:hAnsi="Times New Roman"/>
          <w:sz w:val="28"/>
          <w:szCs w:val="28"/>
        </w:rPr>
        <w:t>, банките могат да изискват от кредитополучателите да им предоставят отчетни и други документи, свързани с кредита и тяхната дейност, както и да извършват проверки на обезпеченията и за целевото използване на предоставените кредити.</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Според </w:t>
      </w:r>
      <w:r>
        <w:rPr>
          <w:rFonts w:cs="Times New Roman" w:ascii="Times New Roman" w:hAnsi="Times New Roman"/>
          <w:b/>
          <w:sz w:val="28"/>
          <w:szCs w:val="28"/>
        </w:rPr>
        <w:t>чл. 60, ал. 4</w:t>
      </w:r>
      <w:r>
        <w:rPr>
          <w:rFonts w:cs="Times New Roman" w:ascii="Times New Roman" w:hAnsi="Times New Roman"/>
          <w:sz w:val="28"/>
          <w:szCs w:val="28"/>
        </w:rPr>
        <w:t xml:space="preserve"> от </w:t>
      </w:r>
      <w:r>
        <w:rPr>
          <w:rFonts w:cs="Times New Roman" w:ascii="Times New Roman" w:hAnsi="Times New Roman"/>
          <w:i/>
          <w:sz w:val="28"/>
          <w:szCs w:val="28"/>
        </w:rPr>
        <w:t>Закона за кредитните институции</w:t>
      </w:r>
      <w:r>
        <w:rPr>
          <w:rFonts w:cs="Times New Roman" w:ascii="Times New Roman" w:hAnsi="Times New Roman"/>
          <w:sz w:val="28"/>
          <w:szCs w:val="28"/>
        </w:rPr>
        <w:t xml:space="preserve"> банката има право на законна ипотека върху недвижимите имоти и вещните права върху тягм които се придобиват изцяло или частично чрез ползване на банков кредит.</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Основно задължение на кредитополучателя е да върне кредита след изтичане на срока, определен в договора. Когато кредитът или отделни вноски от него не бъдат издължени на договорените дати за плащане, както и в случаите, когато кредитът бъде обявен за предсрочно изискуем поради неплащане в срок на една или повече вноски по кредита, банката може да поиска издаване на заповед за незабавно изпълнение по реда на </w:t>
      </w:r>
      <w:r>
        <w:rPr>
          <w:rFonts w:cs="Times New Roman" w:ascii="Times New Roman" w:hAnsi="Times New Roman"/>
          <w:b/>
          <w:sz w:val="28"/>
          <w:szCs w:val="28"/>
        </w:rPr>
        <w:t>чл. 418</w:t>
      </w:r>
      <w:r>
        <w:rPr>
          <w:rFonts w:cs="Times New Roman" w:ascii="Times New Roman" w:hAnsi="Times New Roman"/>
          <w:sz w:val="28"/>
          <w:szCs w:val="28"/>
        </w:rPr>
        <w:t xml:space="preserve"> от </w:t>
      </w:r>
      <w:r>
        <w:rPr>
          <w:rFonts w:cs="Times New Roman" w:ascii="Times New Roman" w:hAnsi="Times New Roman"/>
          <w:i/>
          <w:sz w:val="28"/>
          <w:szCs w:val="28"/>
        </w:rPr>
        <w:t>Гражданския процесуален кодекс</w:t>
      </w:r>
      <w:r>
        <w:rPr>
          <w:rFonts w:cs="Times New Roman" w:ascii="Times New Roman" w:hAnsi="Times New Roman"/>
          <w:sz w:val="28"/>
          <w:szCs w:val="28"/>
        </w:rPr>
        <w:t xml:space="preserve"> въз основа на извлечение от счетоводните си книги.</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Договорът за кредит определя основанията, при настъпване на които банката има правото да обяви кредита за предсрочно изискуем и да пристъпи към принудителното му събиране. Съгласно </w:t>
      </w:r>
      <w:r>
        <w:rPr>
          <w:rFonts w:cs="Times New Roman" w:ascii="Times New Roman" w:hAnsi="Times New Roman"/>
          <w:b/>
          <w:sz w:val="28"/>
          <w:szCs w:val="28"/>
        </w:rPr>
        <w:t>чл. 432</w:t>
      </w:r>
      <w:r>
        <w:rPr>
          <w:rFonts w:cs="Times New Roman" w:ascii="Times New Roman" w:hAnsi="Times New Roman"/>
          <w:sz w:val="28"/>
          <w:szCs w:val="28"/>
        </w:rPr>
        <w:t xml:space="preserve"> от </w:t>
      </w:r>
      <w:r>
        <w:rPr>
          <w:rFonts w:cs="Times New Roman" w:ascii="Times New Roman" w:hAnsi="Times New Roman"/>
          <w:i/>
          <w:sz w:val="28"/>
          <w:szCs w:val="28"/>
        </w:rPr>
        <w:t>Търговския закон</w:t>
      </w:r>
      <w:r>
        <w:rPr>
          <w:rFonts w:cs="Times New Roman" w:ascii="Times New Roman" w:hAnsi="Times New Roman"/>
          <w:sz w:val="28"/>
          <w:szCs w:val="28"/>
        </w:rPr>
        <w:t xml:space="preserve">, освен в предвидените в договора случаи, банката може да поиска предсрочно връщане на сумата по кредита, когато :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Web"/>
        <w:numPr>
          <w:ilvl w:val="0"/>
          <w:numId w:val="7"/>
        </w:numPr>
        <w:shd w:val="clear" w:color="auto" w:fill="FEFEFE"/>
        <w:spacing w:before="280" w:after="280"/>
        <w:jc w:val="both"/>
        <w:rPr>
          <w:color w:val="000000"/>
          <w:sz w:val="28"/>
          <w:szCs w:val="28"/>
        </w:rPr>
      </w:pPr>
      <w:r>
        <w:rPr>
          <w:color w:val="000000"/>
          <w:sz w:val="28"/>
          <w:szCs w:val="28"/>
        </w:rPr>
        <w:t>той не се ползва за целта, за която е получен;</w:t>
      </w:r>
    </w:p>
    <w:p>
      <w:pPr>
        <w:pStyle w:val="NormalWeb"/>
        <w:numPr>
          <w:ilvl w:val="0"/>
          <w:numId w:val="7"/>
        </w:numPr>
        <w:shd w:val="clear" w:color="auto" w:fill="FEFEFE"/>
        <w:spacing w:before="280" w:after="280"/>
        <w:jc w:val="both"/>
        <w:rPr>
          <w:color w:val="000000"/>
          <w:sz w:val="28"/>
          <w:szCs w:val="28"/>
        </w:rPr>
      </w:pPr>
      <w:r>
        <w:rPr>
          <w:color w:val="000000"/>
          <w:sz w:val="28"/>
          <w:szCs w:val="28"/>
        </w:rPr>
        <w:t>заемателят представя неверни сведения;</w:t>
      </w:r>
    </w:p>
    <w:p>
      <w:pPr>
        <w:pStyle w:val="NormalWeb"/>
        <w:numPr>
          <w:ilvl w:val="0"/>
          <w:numId w:val="7"/>
        </w:numPr>
        <w:shd w:val="clear" w:color="auto" w:fill="FEFEFE"/>
        <w:spacing w:before="280" w:after="280"/>
        <w:jc w:val="both"/>
        <w:rPr>
          <w:color w:val="000000"/>
          <w:sz w:val="28"/>
          <w:szCs w:val="28"/>
        </w:rPr>
      </w:pPr>
      <w:r>
        <w:rPr>
          <w:color w:val="000000"/>
          <w:sz w:val="28"/>
          <w:szCs w:val="28"/>
        </w:rPr>
        <w:t>обезпечението стане недостатъчно и след покана не бъде допълнено в срок;</w:t>
      </w:r>
    </w:p>
    <w:p>
      <w:pPr>
        <w:pStyle w:val="NormalWeb"/>
        <w:numPr>
          <w:ilvl w:val="0"/>
          <w:numId w:val="7"/>
        </w:numPr>
        <w:shd w:val="clear" w:color="auto" w:fill="FEFEFE"/>
        <w:spacing w:before="280" w:after="280"/>
        <w:jc w:val="both"/>
        <w:rPr>
          <w:color w:val="000000"/>
          <w:sz w:val="28"/>
          <w:szCs w:val="28"/>
        </w:rPr>
      </w:pPr>
      <w:r>
        <w:rPr>
          <w:i/>
          <w:color w:val="000000"/>
          <w:sz w:val="28"/>
          <w:szCs w:val="28"/>
        </w:rPr>
        <w:t>заемателят не връща други заеми към банката поради сериозно влошаване на финансовото си състояние</w:t>
      </w:r>
      <w:r>
        <w:rPr>
          <w:color w:val="000000"/>
          <w:sz w:val="28"/>
          <w:szCs w:val="28"/>
        </w:rPr>
        <w:t>.  В този случай, банката е длъжна да даде достатъчен срок, преди да упражни правото си за предсрочно връщане на сумата.</w:t>
      </w:r>
    </w:p>
    <w:p>
      <w:pPr>
        <w:pStyle w:val="NormalWeb"/>
        <w:shd w:val="clear" w:color="auto" w:fill="FEFEFE"/>
        <w:spacing w:before="280" w:after="280"/>
        <w:jc w:val="center"/>
        <w:rPr>
          <w:color w:val="000000"/>
          <w:sz w:val="28"/>
          <w:szCs w:val="28"/>
        </w:rPr>
      </w:pPr>
      <w:r>
        <w:rPr>
          <w:color w:val="000000"/>
          <w:sz w:val="28"/>
          <w:szCs w:val="28"/>
        </w:rPr>
      </w:r>
    </w:p>
    <w:p>
      <w:pPr>
        <w:pStyle w:val="NormalWeb"/>
        <w:shd w:val="clear" w:color="auto" w:fill="FEFEFE"/>
        <w:spacing w:before="280" w:after="280"/>
        <w:jc w:val="center"/>
        <w:rPr>
          <w:color w:val="000000"/>
          <w:sz w:val="28"/>
          <w:szCs w:val="28"/>
        </w:rPr>
      </w:pPr>
      <w:r>
        <w:rPr>
          <w:color w:val="000000"/>
          <w:sz w:val="28"/>
          <w:szCs w:val="28"/>
        </w:rPr>
      </w:r>
    </w:p>
    <w:p>
      <w:pPr>
        <w:pStyle w:val="NormalWeb"/>
        <w:shd w:val="clear" w:color="auto" w:fill="FEFEFE"/>
        <w:spacing w:before="280" w:after="280"/>
        <w:jc w:val="center"/>
        <w:rPr>
          <w:color w:val="000000"/>
          <w:sz w:val="28"/>
          <w:szCs w:val="28"/>
        </w:rPr>
      </w:pPr>
      <w:r>
        <w:rPr>
          <w:color w:val="000000"/>
          <w:sz w:val="28"/>
          <w:szCs w:val="28"/>
        </w:rPr>
      </w:r>
    </w:p>
    <w:p>
      <w:pPr>
        <w:pStyle w:val="NormalWeb"/>
        <w:shd w:val="clear" w:color="auto" w:fill="FEFEFE"/>
        <w:spacing w:before="280" w:after="280"/>
        <w:jc w:val="center"/>
        <w:rPr>
          <w:b/>
          <w:b/>
          <w:color w:val="000000"/>
          <w:sz w:val="32"/>
          <w:szCs w:val="32"/>
          <w:u w:val="single"/>
        </w:rPr>
      </w:pPr>
      <w:r>
        <w:rPr>
          <w:b/>
          <w:color w:val="000000"/>
          <w:sz w:val="32"/>
          <w:szCs w:val="32"/>
          <w:u w:val="single"/>
        </w:rPr>
      </w:r>
    </w:p>
    <w:p>
      <w:pPr>
        <w:pStyle w:val="NormalWeb"/>
        <w:shd w:val="clear" w:color="auto" w:fill="FEFEFE"/>
        <w:spacing w:before="280" w:after="280"/>
        <w:jc w:val="center"/>
        <w:rPr>
          <w:b/>
          <w:b/>
          <w:color w:val="000000"/>
          <w:sz w:val="32"/>
          <w:szCs w:val="32"/>
          <w:u w:val="single"/>
        </w:rPr>
      </w:pPr>
      <w:r>
        <w:rPr>
          <w:b/>
          <w:color w:val="000000"/>
          <w:sz w:val="32"/>
          <w:szCs w:val="32"/>
          <w:u w:val="single"/>
        </w:rPr>
      </w:r>
    </w:p>
    <w:p>
      <w:pPr>
        <w:pStyle w:val="NormalWeb"/>
        <w:shd w:val="clear" w:color="auto" w:fill="FEFEFE"/>
        <w:spacing w:before="280" w:after="280"/>
        <w:jc w:val="center"/>
        <w:rPr>
          <w:b/>
          <w:b/>
          <w:color w:val="000000"/>
          <w:sz w:val="32"/>
          <w:szCs w:val="32"/>
          <w:u w:val="single"/>
        </w:rPr>
      </w:pPr>
      <w:r>
        <w:rPr>
          <w:b/>
          <w:color w:val="000000"/>
          <w:sz w:val="32"/>
          <w:szCs w:val="32"/>
          <w:u w:val="single"/>
        </w:rPr>
        <w:t>Прекратяване на договора</w:t>
      </w:r>
    </w:p>
    <w:p>
      <w:pPr>
        <w:pStyle w:val="NormalWeb"/>
        <w:shd w:val="clear" w:color="auto" w:fill="FEFEFE"/>
        <w:spacing w:before="280" w:after="280"/>
        <w:jc w:val="center"/>
        <w:rPr>
          <w:b/>
          <w:b/>
          <w:color w:val="000000"/>
          <w:sz w:val="32"/>
          <w:szCs w:val="32"/>
          <w:u w:val="single"/>
        </w:rPr>
      </w:pPr>
      <w:r>
        <w:rPr>
          <w:b/>
          <w:color w:val="000000"/>
          <w:sz w:val="32"/>
          <w:szCs w:val="32"/>
          <w:u w:val="single"/>
        </w:rPr>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Договорът за банков кредит се прекратява с изтичане на срока на ползване на кредита, когато кредитът не бъде усвоен от кредитополучателя, с изплащане на усвоените суми от кредита и всички дължими по договора за кредит суми, с отказ от потребителя от договора за кредит по реда на Закона за потребителският кредит, както и при настъпване на други прекратителни условия, изрично предвидени в договора за кредит. </w:t>
      </w:r>
    </w:p>
    <w:p>
      <w:pPr>
        <w:pStyle w:val="No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Потребителят има гарантирано от закона право, без да дължи обезщетение или неустойка и без да посочва причина, да се откаже от сключения договор в срок от 14 дни, считано от датата на сключване на договора за кредит или деня, в който потребителят получи условията на договора и информацията по </w:t>
      </w:r>
      <w:r>
        <w:rPr>
          <w:rFonts w:cs="Times New Roman" w:ascii="Times New Roman" w:hAnsi="Times New Roman"/>
          <w:b/>
          <w:sz w:val="28"/>
          <w:szCs w:val="28"/>
        </w:rPr>
        <w:t>чл. 11 и 12</w:t>
      </w:r>
      <w:r>
        <w:rPr>
          <w:rFonts w:cs="Times New Roman" w:ascii="Times New Roman" w:hAnsi="Times New Roman"/>
          <w:sz w:val="28"/>
          <w:szCs w:val="28"/>
        </w:rPr>
        <w:t xml:space="preserve"> от </w:t>
      </w:r>
      <w:r>
        <w:rPr>
          <w:rFonts w:cs="Times New Roman" w:ascii="Times New Roman" w:hAnsi="Times New Roman"/>
          <w:i/>
          <w:sz w:val="28"/>
          <w:szCs w:val="28"/>
        </w:rPr>
        <w:t>Закона за потребителския кредит</w:t>
      </w:r>
      <w:r>
        <w:rPr>
          <w:rFonts w:cs="Times New Roman" w:ascii="Times New Roman" w:hAnsi="Times New Roman"/>
          <w:sz w:val="28"/>
          <w:szCs w:val="28"/>
        </w:rPr>
        <w:t>, когато това става след сключване на договора</w:t>
      </w:r>
      <w:r>
        <w:rPr>
          <w:rStyle w:val="FootnoteAnchor"/>
          <w:rFonts w:cs="Times New Roman" w:ascii="Times New Roman" w:hAnsi="Times New Roman"/>
          <w:sz w:val="28"/>
          <w:szCs w:val="28"/>
        </w:rPr>
        <w:footnoteReference w:id="10"/>
      </w:r>
      <w:r>
        <w:rPr>
          <w:rFonts w:cs="Times New Roman" w:ascii="Times New Roman" w:hAnsi="Times New Roman"/>
          <w:sz w:val="28"/>
          <w:szCs w:val="28"/>
        </w:rPr>
        <w:t xml:space="preserve">. Когато потребителят упражни правото си на отказ от договора за кредит, той връща на кредитора главницата и заплаща лихвата, начислена за периода от датата на усвояване на средстава по кредита до датата на връщане на главницата, без неоправдано забавяне и не по-късно от 30 календарни дни, считано от изпращането на уведомлението до кредитора за упражняване на правото на отказ. Лихвата се изчислява на базата на уговорения в договора лихвен процент. </w:t>
      </w:r>
    </w:p>
    <w:p>
      <w:pPr>
        <w:pStyle w:val="No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При пълно погасяване на кредита, банката е длъжна да заличи, съответно да освободи, предоставените обезпечения в срок не по-дълъг от 14 дни от искането на клиента и заплащане на дължимите такси</w:t>
      </w:r>
      <w:r>
        <w:rPr>
          <w:rStyle w:val="FootnoteAnchor"/>
          <w:rFonts w:cs="Times New Roman" w:ascii="Times New Roman" w:hAnsi="Times New Roman"/>
          <w:sz w:val="28"/>
          <w:szCs w:val="28"/>
        </w:rPr>
        <w:footnoteReference w:id="11"/>
      </w:r>
      <w:r>
        <w:rPr>
          <w:rFonts w:cs="Times New Roman" w:ascii="Times New Roman" w:hAnsi="Times New Roman"/>
          <w:sz w:val="28"/>
          <w:szCs w:val="28"/>
        </w:rPr>
        <w:t>.</w:t>
      </w:r>
    </w:p>
    <w:p>
      <w:pPr>
        <w:pStyle w:val="NoSpacing"/>
        <w:rPr/>
      </w:pPr>
      <w:r>
        <w:rPr/>
        <w:t xml:space="preserve">    </w:t>
      </w:r>
    </w:p>
    <w:p>
      <w:pPr>
        <w:pStyle w:val="ListParagraph"/>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clear" w:pos="708"/>
          <w:tab w:val="left" w:pos="851" w:leader="none"/>
        </w:tabs>
        <w:jc w:val="center"/>
        <w:rPr>
          <w:rFonts w:ascii="Times New Roman" w:hAnsi="Times New Roman" w:cs="Times New Roman"/>
          <w:b/>
          <w:b/>
          <w:sz w:val="32"/>
          <w:szCs w:val="32"/>
          <w:u w:val="single"/>
        </w:rPr>
      </w:pPr>
      <w:r>
        <w:rPr>
          <w:rFonts w:cs="Times New Roman" w:ascii="Times New Roman" w:hAnsi="Times New Roman"/>
          <w:b/>
          <w:sz w:val="32"/>
          <w:szCs w:val="32"/>
          <w:u w:val="single"/>
        </w:rPr>
        <w:t>Разлики между договорът за банков кредит и договорът за заем:</w:t>
      </w:r>
    </w:p>
    <w:p>
      <w:pPr>
        <w:pStyle w:val="Normal"/>
        <w:tabs>
          <w:tab w:val="clear" w:pos="708"/>
          <w:tab w:val="left" w:pos="851" w:leader="none"/>
        </w:tabs>
        <w:jc w:val="center"/>
        <w:rPr>
          <w:rFonts w:ascii="Times New Roman" w:hAnsi="Times New Roman" w:cs="Times New Roman"/>
          <w:b/>
          <w:b/>
          <w:sz w:val="32"/>
          <w:szCs w:val="32"/>
          <w:u w:val="single"/>
        </w:rPr>
      </w:pPr>
      <w:r>
        <w:rPr>
          <w:rFonts w:cs="Times New Roman" w:ascii="Times New Roman" w:hAnsi="Times New Roman"/>
          <w:b/>
          <w:sz w:val="32"/>
          <w:szCs w:val="32"/>
          <w:u w:val="single"/>
        </w:rPr>
      </w:r>
    </w:p>
    <w:p>
      <w:pPr>
        <w:pStyle w:val="Normal"/>
        <w:tabs>
          <w:tab w:val="clear" w:pos="708"/>
          <w:tab w:val="left" w:pos="851" w:leader="none"/>
        </w:tabs>
        <w:jc w:val="center"/>
        <w:rPr>
          <w:rFonts w:ascii="Times New Roman" w:hAnsi="Times New Roman" w:cs="Times New Roman"/>
          <w:b/>
          <w:b/>
          <w:sz w:val="32"/>
          <w:szCs w:val="32"/>
          <w:u w:val="single"/>
        </w:rPr>
      </w:pPr>
      <w:r>
        <w:rPr>
          <w:rFonts w:cs="Times New Roman" w:ascii="Times New Roman" w:hAnsi="Times New Roman"/>
          <w:b/>
          <w:sz w:val="32"/>
          <w:szCs w:val="32"/>
          <w:u w:val="single"/>
        </w:rPr>
      </w:r>
    </w:p>
    <w:p>
      <w:pPr>
        <w:pStyle w:val="NoSpacing"/>
        <w:jc w:val="both"/>
        <w:rPr>
          <w:rFonts w:ascii="Times New Roman" w:hAnsi="Times New Roman" w:cs="Times New Roman"/>
          <w:sz w:val="28"/>
          <w:szCs w:val="28"/>
        </w:rPr>
      </w:pPr>
      <w:r>
        <w:rPr>
          <w:rFonts w:cs="Times New Roman" w:ascii="Times New Roman" w:hAnsi="Times New Roman"/>
          <w:sz w:val="28"/>
          <w:szCs w:val="28"/>
        </w:rPr>
        <w:t>На първо място, предметът на договора за  банковия кредит, за разлика от този за заем, може да бъде само парична сума (не и други вещи).</w:t>
      </w:r>
    </w:p>
    <w:p>
      <w:pPr>
        <w:pStyle w:val="No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На второ място, при договора за банков кредит, едната страна задължително е банка.</w:t>
      </w:r>
    </w:p>
    <w:p>
      <w:pPr>
        <w:pStyle w:val="No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Договорът за заем  реален т.е. за да се породи ефектът от сделката, във </w:t>
      </w:r>
      <w:r>
        <w:rPr>
          <w:rStyle w:val="Appleconvertedspace"/>
          <w:rFonts w:cs="Times New Roman" w:ascii="Times New Roman" w:hAnsi="Times New Roman"/>
          <w:color w:val="000000"/>
          <w:sz w:val="28"/>
          <w:szCs w:val="28"/>
          <w:shd w:fill="FFFFFF" w:val="clear"/>
        </w:rPr>
        <w:t> </w:t>
      </w:r>
      <w:r>
        <w:rPr>
          <w:rFonts w:cs="Times New Roman" w:ascii="Times New Roman" w:hAnsi="Times New Roman"/>
          <w:color w:val="000000"/>
          <w:sz w:val="28"/>
          <w:szCs w:val="28"/>
          <w:shd w:fill="FFFFFF" w:val="clear"/>
        </w:rPr>
        <w:t>фактическия състав е включен допълнителен елемент, предвиден в закона (най-често действия по фактическо предаване на вещи)</w:t>
      </w:r>
      <w:r>
        <w:rPr>
          <w:rFonts w:cs="Times New Roman" w:ascii="Times New Roman" w:hAnsi="Times New Roman"/>
          <w:sz w:val="28"/>
          <w:szCs w:val="28"/>
        </w:rPr>
        <w:t xml:space="preserve"> докато банковият кредит е консенсуален договор, т.е. проявява своето действие по волята на страните, най-често от датата на подписването му.</w:t>
      </w:r>
    </w:p>
    <w:p>
      <w:pPr>
        <w:pStyle w:val="No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Договорът за Заем е неформален, докато договорът за банков кредит е формален. На следващо място е редно да се отбележи, че договорът за заем е безвъзмезден, а договорът за банков кредит е възмезден.</w:t>
      </w:r>
    </w:p>
    <w:p>
      <w:pPr>
        <w:pStyle w:val="No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На последно място, договорът за заем е едностранен, а договорът за банковият кредит е двустранен.</w:t>
      </w:r>
    </w:p>
    <w:p>
      <w:pPr>
        <w:pStyle w:val="Normal"/>
        <w:jc w:val="both"/>
        <w:rPr>
          <w:rFonts w:ascii="Arial" w:hAnsi="Arial" w:cs="Arial"/>
          <w:sz w:val="20"/>
          <w:szCs w:val="20"/>
        </w:rPr>
      </w:pPr>
      <w:r>
        <w:rPr>
          <w:rFonts w:cs="Arial" w:ascii="Arial" w:hAnsi="Arial"/>
          <w:sz w:val="20"/>
          <w:szCs w:val="20"/>
        </w:rPr>
      </w:r>
    </w:p>
    <w:p>
      <w:pPr>
        <w:pStyle w:val="ListParagraph"/>
        <w:spacing w:lineRule="auto" w:line="240" w:before="0" w:after="0"/>
        <w:contextualSpacing/>
        <w:jc w:val="both"/>
        <w:rPr>
          <w:rFonts w:ascii="Times New Roman" w:hAnsi="Times New Roman" w:cs="Times New Roman"/>
          <w:sz w:val="28"/>
          <w:szCs w:val="28"/>
          <w:lang w:val="en-US"/>
        </w:rPr>
      </w:pPr>
      <w:r>
        <w:rPr/>
      </w:r>
    </w:p>
    <w:sectPr>
      <w:footerReference w:type="default" r:id="rId3"/>
      <w:footnotePr>
        <w:numFmt w:val="decimal"/>
      </w:footnotePr>
      <w:type w:val="nextPage"/>
      <w:pgSz w:w="11906" w:h="16838"/>
      <w:pgMar w:left="1417" w:right="1417" w:gutter="0" w:header="0" w:top="141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font>
  <w:font w:name="Times New Roman">
    <w:charset w:val="01"/>
    <w:family w:val="roman"/>
    <w:pitch w:val="variable"/>
  </w:font>
  <w:font w:name="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66303724"/>
    </w:sdtPr>
    <w:sdtContent>
      <w:p>
        <w:pPr>
          <w:pStyle w:val="Footer"/>
          <w:jc w:val="center"/>
          <w:rPr/>
        </w:pPr>
        <w:r>
          <w:rPr/>
        </w:r>
      </w:p>
      <w:p>
        <w:pPr>
          <w:pStyle w:val="Footer"/>
          <w:jc w:val="center"/>
          <w:rPr/>
        </w:pPr>
        <w:r>
          <w:rPr/>
          <w:fldChar w:fldCharType="begin"/>
        </w:r>
        <w:r>
          <w:rPr/>
          <w:instrText xml:space="preserve"> PAGE </w:instrText>
        </w:r>
        <w:r>
          <w:rPr/>
          <w:fldChar w:fldCharType="separate"/>
        </w:r>
        <w:r>
          <w:rPr/>
          <w:t>13</w:t>
        </w:r>
        <w:r>
          <w:rPr/>
          <w:fldChar w:fldCharType="end"/>
        </w:r>
      </w:p>
    </w:sdtContent>
  </w:sdt>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
        <w:rPr/>
      </w:pPr>
      <w:r>
        <w:rPr>
          <w:rStyle w:val="FootnoteCharacters"/>
        </w:rPr>
        <w:footnoteRef/>
      </w:r>
      <w:r>
        <w:rPr/>
        <w:t xml:space="preserve"> </w:t>
      </w:r>
      <w:r>
        <w:rPr/>
        <w:t>Лекционен курс по ”Банково право”, доц. д-р Анета Антонова, април 2012 г. , ЮФ към СУ „Св. Климент Охридски”</w:t>
      </w:r>
    </w:p>
  </w:footnote>
  <w:footnote w:id="3">
    <w:p>
      <w:pPr>
        <w:pStyle w:val="Footnote"/>
        <w:rPr/>
      </w:pPr>
      <w:r>
        <w:rPr>
          <w:rStyle w:val="FootnoteCharacters"/>
        </w:rPr>
        <w:footnoteRef/>
      </w:r>
      <w:r>
        <w:rPr/>
        <w:t xml:space="preserve"> </w:t>
      </w:r>
      <w:r>
        <w:rPr/>
        <w:t>Лекционен курс по ”Банково право”, доц. д-р Анета Антонова, март - април 2012 г. , ЮФ към СУ „Св. Климент Охридски”</w:t>
      </w:r>
    </w:p>
  </w:footnote>
  <w:footnote w:id="4">
    <w:p>
      <w:pPr>
        <w:pStyle w:val="Footnote"/>
        <w:rPr/>
      </w:pPr>
      <w:r>
        <w:rPr>
          <w:rStyle w:val="FootnoteCharacters"/>
        </w:rPr>
        <w:footnoteRef/>
      </w:r>
      <w:r>
        <w:rPr/>
        <w:t xml:space="preserve"> </w:t>
      </w:r>
      <w:r>
        <w:rPr/>
        <w:t xml:space="preserve">Според </w:t>
      </w:r>
      <w:r>
        <w:rPr>
          <w:rFonts w:cs="Calibri" w:cstheme="minorHAnsi"/>
        </w:rPr>
        <w:t xml:space="preserve">чл. 22  спрямо </w:t>
      </w:r>
      <w:r>
        <w:rPr/>
        <w:t xml:space="preserve"> </w:t>
      </w:r>
      <w:r>
        <w:rPr>
          <w:rFonts w:cs="Calibri" w:cstheme="minorHAnsi"/>
        </w:rPr>
        <w:t>чл. 11, ал. 1,  т.7 от Законът за Потребителски Кредит</w:t>
      </w:r>
    </w:p>
  </w:footnote>
  <w:footnote w:id="5">
    <w:p>
      <w:pPr>
        <w:pStyle w:val="Footnote"/>
        <w:rPr/>
      </w:pPr>
      <w:r>
        <w:rPr>
          <w:rStyle w:val="FootnoteCharacters"/>
        </w:rPr>
        <w:footnoteRef/>
      </w:r>
      <w:r>
        <w:rPr/>
        <w:t xml:space="preserve"> </w:t>
      </w:r>
      <w:r>
        <w:rPr/>
        <w:t xml:space="preserve">Според </w:t>
      </w:r>
      <w:r>
        <w:rPr>
          <w:rFonts w:cs="Calibri" w:cstheme="minorHAnsi"/>
        </w:rPr>
        <w:t xml:space="preserve">чл. 22  спрямо </w:t>
      </w:r>
      <w:r>
        <w:rPr/>
        <w:t xml:space="preserve"> </w:t>
      </w:r>
      <w:r>
        <w:rPr>
          <w:rFonts w:cs="Calibri" w:cstheme="minorHAnsi"/>
        </w:rPr>
        <w:t>чл. 11, ал. 1,  т.8 от Законът за Потребителски Кредит</w:t>
      </w:r>
    </w:p>
  </w:footnote>
  <w:footnote w:id="6">
    <w:p>
      <w:pPr>
        <w:pStyle w:val="Footnote"/>
        <w:rPr/>
      </w:pPr>
      <w:r>
        <w:rPr>
          <w:rStyle w:val="FootnoteCharacters"/>
        </w:rPr>
        <w:footnoteRef/>
      </w:r>
      <w:r>
        <w:rPr/>
        <w:t xml:space="preserve"> </w:t>
      </w:r>
      <w:r>
        <w:rPr/>
        <w:t xml:space="preserve">Според </w:t>
      </w:r>
      <w:r>
        <w:rPr>
          <w:rFonts w:cs="Calibri" w:cstheme="minorHAnsi"/>
        </w:rPr>
        <w:t xml:space="preserve">чл. 22  спрямо </w:t>
      </w:r>
      <w:r>
        <w:rPr/>
        <w:t xml:space="preserve"> </w:t>
      </w:r>
      <w:r>
        <w:rPr>
          <w:rFonts w:cs="Calibri" w:cstheme="minorHAnsi"/>
        </w:rPr>
        <w:t>чл. 11, ал. 1,  т.9 от Законът за Потребителски Кредит</w:t>
      </w:r>
    </w:p>
  </w:footnote>
  <w:footnote w:id="7">
    <w:p>
      <w:pPr>
        <w:pStyle w:val="Footnote"/>
        <w:rPr/>
      </w:pPr>
      <w:r>
        <w:rPr>
          <w:rStyle w:val="FootnoteCharacters"/>
        </w:rPr>
        <w:footnoteRef/>
      </w:r>
      <w:r>
        <w:rPr/>
        <w:t xml:space="preserve"> </w:t>
      </w:r>
      <w:r>
        <w:rPr/>
        <w:t xml:space="preserve">Според </w:t>
      </w:r>
      <w:r>
        <w:rPr>
          <w:rFonts w:cs="Calibri" w:cstheme="minorHAnsi"/>
        </w:rPr>
        <w:t xml:space="preserve">чл. 22  спрямо </w:t>
      </w:r>
      <w:r>
        <w:rPr/>
        <w:t xml:space="preserve"> </w:t>
      </w:r>
      <w:r>
        <w:rPr>
          <w:rFonts w:cs="Calibri" w:cstheme="minorHAnsi"/>
        </w:rPr>
        <w:t>чл. 11, ал. 1,  т.10 от Законът за потребителски кредит</w:t>
      </w:r>
    </w:p>
  </w:footnote>
  <w:footnote w:id="8">
    <w:p>
      <w:pPr>
        <w:pStyle w:val="Footnote"/>
        <w:rPr/>
      </w:pPr>
      <w:r>
        <w:rPr>
          <w:rStyle w:val="FootnoteCharacters"/>
        </w:rPr>
        <w:footnoteRef/>
      </w:r>
      <w:r>
        <w:rPr/>
        <w:t xml:space="preserve"> </w:t>
      </w:r>
      <w:r>
        <w:rPr/>
        <w:t>Чл. 19 ал. 1 от Законът за потребителски кредит</w:t>
      </w:r>
    </w:p>
  </w:footnote>
  <w:footnote w:id="9">
    <w:p>
      <w:pPr>
        <w:pStyle w:val="Footnote"/>
        <w:rPr/>
      </w:pPr>
      <w:r>
        <w:rPr>
          <w:rStyle w:val="FootnoteCharacters"/>
        </w:rPr>
        <w:footnoteRef/>
      </w:r>
      <w:r>
        <w:rPr/>
        <w:t xml:space="preserve"> </w:t>
      </w:r>
      <w:r>
        <w:rPr/>
        <w:t xml:space="preserve">Според </w:t>
      </w:r>
      <w:r>
        <w:rPr>
          <w:rFonts w:cs="Calibri" w:cstheme="minorHAnsi"/>
        </w:rPr>
        <w:t xml:space="preserve">чл. 22  спрямо </w:t>
      </w:r>
      <w:r>
        <w:rPr/>
        <w:t xml:space="preserve"> </w:t>
      </w:r>
      <w:r>
        <w:rPr>
          <w:rFonts w:cs="Calibri" w:cstheme="minorHAnsi"/>
        </w:rPr>
        <w:t>чл. 11, ал. 1,  т.11 и т. 12 от Законът за потребителски кредит</w:t>
      </w:r>
    </w:p>
  </w:footnote>
  <w:footnote w:id="10">
    <w:p>
      <w:pPr>
        <w:pStyle w:val="Footnote"/>
        <w:rPr/>
      </w:pPr>
      <w:r>
        <w:rPr>
          <w:rStyle w:val="FootnoteCharacters"/>
        </w:rPr>
        <w:footnoteRef/>
      </w:r>
      <w:r>
        <w:rPr/>
        <w:t xml:space="preserve"> </w:t>
      </w:r>
      <w:r>
        <w:rPr/>
        <w:t xml:space="preserve">Чл. 29, ал. 1 от Закона за потребителски кредит </w:t>
      </w:r>
    </w:p>
  </w:footnote>
  <w:footnote w:id="11">
    <w:p>
      <w:pPr>
        <w:pStyle w:val="Footnote"/>
        <w:rPr/>
      </w:pPr>
      <w:r>
        <w:rPr>
          <w:rStyle w:val="FootnoteCharacters"/>
        </w:rPr>
        <w:footnoteRef/>
      </w:r>
      <w:r>
        <w:rPr/>
        <w:t xml:space="preserve"> </w:t>
      </w:r>
      <w:r>
        <w:rPr/>
        <w:t xml:space="preserve">Чл. 60 ал.5 от Закона за кредитните институции </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5">
    <w:lvl w:ilvl="0">
      <w:numFmt w:val="bullet"/>
      <w:lvlText w:val="-"/>
      <w:lvlJc w:val="left"/>
      <w:pPr>
        <w:tabs>
          <w:tab w:val="num" w:pos="0"/>
        </w:tabs>
        <w:ind w:left="1920" w:hanging="360"/>
      </w:pPr>
      <w:rPr>
        <w:rFonts w:ascii="Times New Roman" w:hAnsi="Times New Roman" w:cs="Times New Roman" w:hint="default"/>
      </w:rPr>
    </w:lvl>
    <w:lvl w:ilvl="1">
      <w:start w:val="1"/>
      <w:numFmt w:val="bullet"/>
      <w:lvlText w:val="o"/>
      <w:lvlJc w:val="left"/>
      <w:pPr>
        <w:tabs>
          <w:tab w:val="num" w:pos="0"/>
        </w:tabs>
        <w:ind w:left="2640" w:hanging="360"/>
      </w:pPr>
      <w:rPr>
        <w:rFonts w:ascii="Courier New" w:hAnsi="Courier New" w:cs="Courier New" w:hint="default"/>
      </w:rPr>
    </w:lvl>
    <w:lvl w:ilvl="2">
      <w:start w:val="1"/>
      <w:numFmt w:val="bullet"/>
      <w:lvlText w:val=""/>
      <w:lvlJc w:val="left"/>
      <w:pPr>
        <w:tabs>
          <w:tab w:val="num" w:pos="0"/>
        </w:tabs>
        <w:ind w:left="3360" w:hanging="360"/>
      </w:pPr>
      <w:rPr>
        <w:rFonts w:ascii="Wingdings" w:hAnsi="Wingdings" w:cs="Wingdings" w:hint="default"/>
      </w:rPr>
    </w:lvl>
    <w:lvl w:ilvl="3">
      <w:start w:val="1"/>
      <w:numFmt w:val="bullet"/>
      <w:lvlText w:val=""/>
      <w:lvlJc w:val="left"/>
      <w:pPr>
        <w:tabs>
          <w:tab w:val="num" w:pos="0"/>
        </w:tabs>
        <w:ind w:left="4080" w:hanging="360"/>
      </w:pPr>
      <w:rPr>
        <w:rFonts w:ascii="Symbol" w:hAnsi="Symbol" w:cs="Symbol" w:hint="default"/>
      </w:rPr>
    </w:lvl>
    <w:lvl w:ilvl="4">
      <w:start w:val="1"/>
      <w:numFmt w:val="bullet"/>
      <w:lvlText w:val="o"/>
      <w:lvlJc w:val="left"/>
      <w:pPr>
        <w:tabs>
          <w:tab w:val="num" w:pos="0"/>
        </w:tabs>
        <w:ind w:left="4800" w:hanging="360"/>
      </w:pPr>
      <w:rPr>
        <w:rFonts w:ascii="Courier New" w:hAnsi="Courier New" w:cs="Courier New" w:hint="default"/>
      </w:rPr>
    </w:lvl>
    <w:lvl w:ilvl="5">
      <w:start w:val="1"/>
      <w:numFmt w:val="bullet"/>
      <w:lvlText w:val=""/>
      <w:lvlJc w:val="left"/>
      <w:pPr>
        <w:tabs>
          <w:tab w:val="num" w:pos="0"/>
        </w:tabs>
        <w:ind w:left="5520" w:hanging="360"/>
      </w:pPr>
      <w:rPr>
        <w:rFonts w:ascii="Wingdings" w:hAnsi="Wingdings" w:cs="Wingdings" w:hint="default"/>
      </w:rPr>
    </w:lvl>
    <w:lvl w:ilvl="6">
      <w:start w:val="1"/>
      <w:numFmt w:val="bullet"/>
      <w:lvlText w:val=""/>
      <w:lvlJc w:val="left"/>
      <w:pPr>
        <w:tabs>
          <w:tab w:val="num" w:pos="0"/>
        </w:tabs>
        <w:ind w:left="6240" w:hanging="360"/>
      </w:pPr>
      <w:rPr>
        <w:rFonts w:ascii="Symbol" w:hAnsi="Symbol" w:cs="Symbol" w:hint="default"/>
      </w:rPr>
    </w:lvl>
    <w:lvl w:ilvl="7">
      <w:start w:val="1"/>
      <w:numFmt w:val="bullet"/>
      <w:lvlText w:val="o"/>
      <w:lvlJc w:val="left"/>
      <w:pPr>
        <w:tabs>
          <w:tab w:val="num" w:pos="0"/>
        </w:tabs>
        <w:ind w:left="6960" w:hanging="360"/>
      </w:pPr>
      <w:rPr>
        <w:rFonts w:ascii="Courier New" w:hAnsi="Courier New" w:cs="Courier New" w:hint="default"/>
      </w:rPr>
    </w:lvl>
    <w:lvl w:ilvl="8">
      <w:start w:val="1"/>
      <w:numFmt w:val="bullet"/>
      <w:lvlText w:val=""/>
      <w:lvlJc w:val="left"/>
      <w:pPr>
        <w:tabs>
          <w:tab w:val="num" w:pos="0"/>
        </w:tabs>
        <w:ind w:left="7680" w:hanging="360"/>
      </w:pPr>
      <w:rPr>
        <w:rFonts w:ascii="Wingdings" w:hAnsi="Wingdings" w:cs="Wingdings" w:hint="default"/>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2"/>
  </w:compat>
  <w:hyphenationZone w:val="425"/>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b5d0d"/>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paragraph" w:styleId="Heading1">
    <w:name w:val="Heading 1"/>
    <w:basedOn w:val="Normal"/>
    <w:next w:val="Normal"/>
    <w:link w:val="Heading1Char"/>
    <w:uiPriority w:val="9"/>
    <w:qFormat/>
    <w:rsid w:val="001a7c4d"/>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Heading2">
    <w:name w:val="Heading 2"/>
    <w:basedOn w:val="Normal"/>
    <w:next w:val="Normal"/>
    <w:link w:val="Heading2Char"/>
    <w:uiPriority w:val="9"/>
    <w:unhideWhenUsed/>
    <w:qFormat/>
    <w:rsid w:val="001a7c4d"/>
    <w:pPr>
      <w:keepNext w:val="true"/>
      <w:keepLines/>
      <w:spacing w:before="200" w:after="0"/>
      <w:outlineLvl w:val="1"/>
    </w:pPr>
    <w:rPr>
      <w:rFonts w:ascii="Cambria" w:hAnsi="Cambria" w:eastAsia="" w:cs="" w:asciiTheme="majorHAnsi" w:cstheme="majorBidi" w:eastAsiaTheme="majorEastAsia" w:hAnsiTheme="majorHAnsi"/>
      <w:b/>
      <w:bCs/>
      <w:color w:val="4F81BD" w:themeColor="accent1"/>
      <w:sz w:val="26"/>
      <w:szCs w:val="26"/>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167c1c"/>
    <w:rPr>
      <w:rFonts w:ascii="Tahoma" w:hAnsi="Tahoma" w:cs="Tahoma"/>
      <w:sz w:val="16"/>
      <w:szCs w:val="16"/>
    </w:rPr>
  </w:style>
  <w:style w:type="character" w:styleId="HeaderChar" w:customStyle="1">
    <w:name w:val="Header Char"/>
    <w:basedOn w:val="DefaultParagraphFont"/>
    <w:link w:val="Header"/>
    <w:uiPriority w:val="99"/>
    <w:semiHidden/>
    <w:qFormat/>
    <w:rsid w:val="00167c1c"/>
    <w:rPr/>
  </w:style>
  <w:style w:type="character" w:styleId="FooterChar" w:customStyle="1">
    <w:name w:val="Footer Char"/>
    <w:basedOn w:val="DefaultParagraphFont"/>
    <w:link w:val="Footer"/>
    <w:uiPriority w:val="99"/>
    <w:qFormat/>
    <w:rsid w:val="00167c1c"/>
    <w:rPr/>
  </w:style>
  <w:style w:type="character" w:styleId="Appleconvertedspace" w:customStyle="1">
    <w:name w:val="apple-converted-space"/>
    <w:basedOn w:val="DefaultParagraphFont"/>
    <w:qFormat/>
    <w:rsid w:val="00be54b7"/>
    <w:rPr/>
  </w:style>
  <w:style w:type="character" w:styleId="FootnoteTextChar" w:customStyle="1">
    <w:name w:val="Footnote Text Char"/>
    <w:basedOn w:val="DefaultParagraphFont"/>
    <w:link w:val="Footnote"/>
    <w:uiPriority w:val="99"/>
    <w:semiHidden/>
    <w:qFormat/>
    <w:rsid w:val="00a37f8b"/>
    <w:rPr>
      <w:rFonts w:ascii="Calibri" w:hAnsi="Calibri" w:eastAsia="Times New Roman" w:cs="Times New Roman"/>
      <w:sz w:val="20"/>
      <w:szCs w:val="20"/>
      <w:lang w:eastAsia="bg-BG"/>
    </w:rPr>
  </w:style>
  <w:style w:type="character" w:styleId="FootnoteCharacters">
    <w:name w:val="Footnote Characters"/>
    <w:basedOn w:val="DefaultParagraphFont"/>
    <w:uiPriority w:val="99"/>
    <w:semiHidden/>
    <w:unhideWhenUsed/>
    <w:qFormat/>
    <w:rsid w:val="00a37f8b"/>
    <w:rPr>
      <w:vertAlign w:val="superscript"/>
    </w:rPr>
  </w:style>
  <w:style w:type="character" w:styleId="FootnoteAnchor">
    <w:name w:val="Footnote Anchor"/>
    <w:rPr>
      <w:vertAlign w:val="superscript"/>
    </w:rPr>
  </w:style>
  <w:style w:type="character" w:styleId="InternetLink">
    <w:name w:val="Hyperlink"/>
    <w:basedOn w:val="DefaultParagraphFont"/>
    <w:uiPriority w:val="99"/>
    <w:semiHidden/>
    <w:unhideWhenUsed/>
    <w:rsid w:val="00a37f8b"/>
    <w:rPr>
      <w:color w:val="0000FF"/>
      <w:u w:val="single"/>
    </w:rPr>
  </w:style>
  <w:style w:type="character" w:styleId="Heading1Char" w:customStyle="1">
    <w:name w:val="Heading 1 Char"/>
    <w:basedOn w:val="DefaultParagraphFont"/>
    <w:link w:val="Heading1"/>
    <w:uiPriority w:val="9"/>
    <w:qFormat/>
    <w:rsid w:val="001a7c4d"/>
    <w:rPr>
      <w:rFonts w:ascii="Cambria" w:hAnsi="Cambria" w:eastAsia="" w:cs="" w:asciiTheme="majorHAnsi" w:cstheme="majorBidi" w:eastAsiaTheme="majorEastAsia" w:hAnsiTheme="majorHAnsi"/>
      <w:b/>
      <w:bCs/>
      <w:color w:val="365F91" w:themeColor="accent1" w:themeShade="bf"/>
      <w:sz w:val="28"/>
      <w:szCs w:val="28"/>
    </w:rPr>
  </w:style>
  <w:style w:type="character" w:styleId="Heading2Char" w:customStyle="1">
    <w:name w:val="Heading 2 Char"/>
    <w:basedOn w:val="DefaultParagraphFont"/>
    <w:link w:val="Heading2"/>
    <w:uiPriority w:val="9"/>
    <w:qFormat/>
    <w:rsid w:val="001a7c4d"/>
    <w:rPr>
      <w:rFonts w:ascii="Cambria" w:hAnsi="Cambria" w:eastAsia="" w:cs="" w:asciiTheme="majorHAnsi" w:cstheme="majorBidi" w:eastAsiaTheme="majorEastAsia" w:hAnsiTheme="majorHAnsi"/>
      <w:b/>
      <w:bCs/>
      <w:color w:val="4F81BD" w:themeColor="accent1"/>
      <w:sz w:val="26"/>
      <w:szCs w:val="26"/>
    </w:rPr>
  </w:style>
  <w:style w:type="character" w:styleId="EndnoteAnchor">
    <w:name w:val="Endnote Anchor"/>
    <w:rPr>
      <w:vertAlign w:val="superscript"/>
    </w:rPr>
  </w:style>
  <w:style w:type="character" w:styleId="EndnoteCharacters">
    <w:name w:val="Endnote Characters"/>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lang w:val="zxx" w:eastAsia="zxx" w:bidi="zxx"/>
    </w:rPr>
  </w:style>
  <w:style w:type="paragraph" w:styleId="BalloonText">
    <w:name w:val="Balloon Text"/>
    <w:basedOn w:val="Normal"/>
    <w:link w:val="BalloonTextChar"/>
    <w:uiPriority w:val="99"/>
    <w:semiHidden/>
    <w:unhideWhenUsed/>
    <w:qFormat/>
    <w:rsid w:val="00167c1c"/>
    <w:pPr>
      <w:spacing w:lineRule="auto" w:line="240" w:before="0" w:after="0"/>
    </w:pPr>
    <w:rPr>
      <w:rFonts w:ascii="Tahoma" w:hAnsi="Tahoma" w:cs="Tahoma"/>
      <w:sz w:val="16"/>
      <w:szCs w:val="16"/>
    </w:rPr>
  </w:style>
  <w:style w:type="paragraph" w:styleId="HeaderandFooter">
    <w:name w:val="Header and Footer"/>
    <w:basedOn w:val="Normal"/>
    <w:qFormat/>
    <w:pPr/>
    <w:rPr/>
  </w:style>
  <w:style w:type="paragraph" w:styleId="Header">
    <w:name w:val="Header"/>
    <w:basedOn w:val="Normal"/>
    <w:link w:val="HeaderChar"/>
    <w:uiPriority w:val="99"/>
    <w:semiHidden/>
    <w:unhideWhenUsed/>
    <w:rsid w:val="00167c1c"/>
    <w:pPr>
      <w:tabs>
        <w:tab w:val="clear" w:pos="708"/>
        <w:tab w:val="center" w:pos="4536" w:leader="none"/>
        <w:tab w:val="right" w:pos="9072" w:leader="none"/>
      </w:tabs>
      <w:spacing w:lineRule="auto" w:line="240" w:before="0" w:after="0"/>
    </w:pPr>
    <w:rPr/>
  </w:style>
  <w:style w:type="paragraph" w:styleId="Footer">
    <w:name w:val="Footer"/>
    <w:basedOn w:val="Normal"/>
    <w:link w:val="FooterChar"/>
    <w:uiPriority w:val="99"/>
    <w:unhideWhenUsed/>
    <w:rsid w:val="00167c1c"/>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34"/>
    <w:qFormat/>
    <w:rsid w:val="00967958"/>
    <w:pPr>
      <w:spacing w:before="0" w:after="200"/>
      <w:ind w:left="720" w:hanging="0"/>
      <w:contextualSpacing/>
    </w:pPr>
    <w:rPr/>
  </w:style>
  <w:style w:type="paragraph" w:styleId="Footnote">
    <w:name w:val="Footnote Text"/>
    <w:basedOn w:val="Normal"/>
    <w:link w:val="FootnoteTextChar"/>
    <w:uiPriority w:val="99"/>
    <w:semiHidden/>
    <w:unhideWhenUsed/>
    <w:rsid w:val="00a37f8b"/>
    <w:pPr>
      <w:spacing w:lineRule="auto" w:line="240" w:before="0" w:after="0"/>
    </w:pPr>
    <w:rPr>
      <w:rFonts w:ascii="Calibri" w:hAnsi="Calibri" w:eastAsia="Times New Roman" w:cs="Times New Roman"/>
      <w:sz w:val="20"/>
      <w:szCs w:val="20"/>
      <w:lang w:eastAsia="bg-BG"/>
    </w:rPr>
  </w:style>
  <w:style w:type="paragraph" w:styleId="NoSpacing">
    <w:name w:val="No Spacing"/>
    <w:uiPriority w:val="1"/>
    <w:qFormat/>
    <w:rsid w:val="000d3ad8"/>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paragraph" w:styleId="NormalWeb">
    <w:name w:val="Normal (Web)"/>
    <w:basedOn w:val="Normal"/>
    <w:uiPriority w:val="99"/>
    <w:semiHidden/>
    <w:unhideWhenUsed/>
    <w:qFormat/>
    <w:rsid w:val="00435a41"/>
    <w:pPr>
      <w:spacing w:lineRule="auto" w:line="240" w:beforeAutospacing="1" w:afterAutospacing="1"/>
    </w:pPr>
    <w:rPr>
      <w:rFonts w:ascii="Times New Roman" w:hAnsi="Times New Roman" w:eastAsia="Times New Roman" w:cs="Times New Roman"/>
      <w:sz w:val="24"/>
      <w:szCs w:val="24"/>
      <w:lang w:eastAsia="bg-BG"/>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96E383-8DD9-4DB8-AE72-3090F91C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Application>LibreOffice/7.3.4.2$Linux_X86_64 LibreOffice_project/30$Build-2</Application>
  <AppVersion>15.0000</AppVersion>
  <Pages>13</Pages>
  <Words>2913</Words>
  <Characters>16436</Characters>
  <CharactersWithSpaces>19476</CharactersWithSpaces>
  <Paragraphs>101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2012-04-14T12:45:00Z</dcterms:created>
  <dc:creator>Pavel</dc:creator>
  <dc:description/>
  <dc:language>en-US</dc:language>
  <cp:lastModifiedBy>Pavel</cp:lastModifiedBy>
  <dcterms:modified xsi:type="dcterms:W3CDTF">2012-04-15T22:05:00Z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file>